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23910" w14:textId="77777777" w:rsidR="008A5287" w:rsidRDefault="008A5287" w:rsidP="008A5287">
      <w:pPr>
        <w:pStyle w:val="ListParagraph"/>
        <w:jc w:val="center"/>
        <w:rPr>
          <w:sz w:val="28"/>
          <w:szCs w:val="28"/>
        </w:rPr>
      </w:pPr>
    </w:p>
    <w:p w14:paraId="34C3DB7A" w14:textId="77777777" w:rsidR="008A5287" w:rsidRDefault="008A5287" w:rsidP="008A5287">
      <w:pPr>
        <w:pStyle w:val="ListParagraph"/>
        <w:jc w:val="center"/>
        <w:rPr>
          <w:sz w:val="28"/>
          <w:szCs w:val="28"/>
        </w:rPr>
      </w:pPr>
    </w:p>
    <w:p w14:paraId="58C7A7CB" w14:textId="77777777" w:rsidR="008A5287" w:rsidRDefault="008A5287" w:rsidP="008A5287">
      <w:pPr>
        <w:pStyle w:val="ListParagraph"/>
        <w:jc w:val="center"/>
        <w:rPr>
          <w:sz w:val="28"/>
          <w:szCs w:val="28"/>
        </w:rPr>
      </w:pPr>
    </w:p>
    <w:p w14:paraId="7E7CF3BB" w14:textId="77777777" w:rsidR="008A5287" w:rsidRDefault="008A5287" w:rsidP="008A5287">
      <w:pPr>
        <w:pStyle w:val="ListParagraph"/>
        <w:jc w:val="center"/>
        <w:rPr>
          <w:sz w:val="28"/>
          <w:szCs w:val="28"/>
        </w:rPr>
      </w:pPr>
    </w:p>
    <w:p w14:paraId="1A9F36BC" w14:textId="77777777" w:rsidR="008A5287" w:rsidRDefault="008A5287" w:rsidP="008A5287">
      <w:pPr>
        <w:pStyle w:val="ListParagraph"/>
        <w:jc w:val="center"/>
        <w:rPr>
          <w:sz w:val="28"/>
          <w:szCs w:val="28"/>
        </w:rPr>
      </w:pPr>
    </w:p>
    <w:p w14:paraId="6903900E" w14:textId="77777777" w:rsidR="008A5287" w:rsidRDefault="008A5287" w:rsidP="008A5287">
      <w:pPr>
        <w:pStyle w:val="ListParagraph"/>
        <w:jc w:val="center"/>
        <w:rPr>
          <w:sz w:val="28"/>
          <w:szCs w:val="28"/>
        </w:rPr>
      </w:pPr>
    </w:p>
    <w:p w14:paraId="48BA470C" w14:textId="77777777" w:rsidR="008A5287" w:rsidRDefault="008A5287" w:rsidP="00AE0C3C">
      <w:pPr>
        <w:pStyle w:val="ListParagraph"/>
        <w:ind w:left="0"/>
        <w:jc w:val="center"/>
        <w:rPr>
          <w:sz w:val="28"/>
          <w:szCs w:val="28"/>
        </w:rPr>
      </w:pPr>
    </w:p>
    <w:p w14:paraId="2D4468A8" w14:textId="77777777" w:rsidR="000D6742" w:rsidRDefault="000D6742" w:rsidP="00AE0C3C">
      <w:pPr>
        <w:pStyle w:val="ListParagraph"/>
        <w:ind w:left="0"/>
        <w:jc w:val="center"/>
        <w:rPr>
          <w:sz w:val="28"/>
          <w:szCs w:val="28"/>
        </w:rPr>
      </w:pPr>
      <w:r>
        <w:rPr>
          <w:sz w:val="28"/>
          <w:szCs w:val="28"/>
        </w:rPr>
        <w:t xml:space="preserve">Motion Practice </w:t>
      </w:r>
      <w:r w:rsidR="008D0ADD">
        <w:rPr>
          <w:sz w:val="28"/>
          <w:szCs w:val="28"/>
        </w:rPr>
        <w:t>Complete Memorandum</w:t>
      </w:r>
    </w:p>
    <w:p w14:paraId="346FD1F2" w14:textId="77777777" w:rsidR="008A5287" w:rsidRDefault="00864285" w:rsidP="00AE0C3C">
      <w:pPr>
        <w:pStyle w:val="ListParagraph"/>
        <w:ind w:left="0"/>
        <w:jc w:val="center"/>
        <w:rPr>
          <w:sz w:val="28"/>
          <w:szCs w:val="28"/>
        </w:rPr>
      </w:pPr>
      <w:r>
        <w:rPr>
          <w:sz w:val="28"/>
          <w:szCs w:val="28"/>
        </w:rPr>
        <w:t>April 11</w:t>
      </w:r>
      <w:r w:rsidR="008A5287">
        <w:rPr>
          <w:sz w:val="28"/>
          <w:szCs w:val="28"/>
        </w:rPr>
        <w:t>, 2012</w:t>
      </w:r>
    </w:p>
    <w:p w14:paraId="40D5ED62" w14:textId="77777777" w:rsidR="000D6742" w:rsidRDefault="000D6742" w:rsidP="00AE0C3C">
      <w:pPr>
        <w:pStyle w:val="ListParagraph"/>
        <w:ind w:left="0"/>
        <w:jc w:val="center"/>
        <w:rPr>
          <w:sz w:val="28"/>
          <w:szCs w:val="28"/>
        </w:rPr>
      </w:pPr>
      <w:r>
        <w:rPr>
          <w:sz w:val="28"/>
          <w:szCs w:val="28"/>
        </w:rPr>
        <w:t xml:space="preserve">Professor </w:t>
      </w:r>
      <w:r w:rsidR="00BF5CEB">
        <w:rPr>
          <w:sz w:val="28"/>
          <w:szCs w:val="28"/>
        </w:rPr>
        <w:t>&lt;redacted&gt;&lt;/redacted&gt;</w:t>
      </w:r>
    </w:p>
    <w:p w14:paraId="6A00927B" w14:textId="77777777" w:rsidR="000D6742" w:rsidRDefault="00BF5CEB" w:rsidP="00AE0C3C">
      <w:pPr>
        <w:pStyle w:val="ListParagraph"/>
        <w:ind w:left="0"/>
        <w:jc w:val="center"/>
        <w:rPr>
          <w:sz w:val="28"/>
          <w:szCs w:val="28"/>
        </w:rPr>
      </w:pPr>
      <w:r>
        <w:rPr>
          <w:sz w:val="28"/>
          <w:szCs w:val="28"/>
        </w:rPr>
        <w:t>&lt;</w:t>
      </w:r>
      <w:proofErr w:type="gramStart"/>
      <w:r>
        <w:rPr>
          <w:sz w:val="28"/>
          <w:szCs w:val="28"/>
        </w:rPr>
        <w:t>redacted</w:t>
      </w:r>
      <w:proofErr w:type="gramEnd"/>
      <w:r>
        <w:rPr>
          <w:sz w:val="28"/>
          <w:szCs w:val="28"/>
        </w:rPr>
        <w:t>&gt;&lt;/redacted&gt;</w:t>
      </w:r>
    </w:p>
    <w:p w14:paraId="33005645" w14:textId="77777777" w:rsidR="000D6742" w:rsidRDefault="000D6742" w:rsidP="00AE0C3C">
      <w:pPr>
        <w:pStyle w:val="ListParagraph"/>
        <w:ind w:left="0"/>
        <w:jc w:val="center"/>
        <w:rPr>
          <w:sz w:val="28"/>
          <w:szCs w:val="28"/>
        </w:rPr>
      </w:pPr>
      <w:r>
        <w:rPr>
          <w:sz w:val="28"/>
          <w:szCs w:val="28"/>
        </w:rPr>
        <w:t xml:space="preserve">I certify </w:t>
      </w:r>
      <w:r w:rsidR="002367B8">
        <w:rPr>
          <w:sz w:val="28"/>
          <w:szCs w:val="28"/>
        </w:rPr>
        <w:t>t</w:t>
      </w:r>
      <w:r w:rsidR="00E72F30">
        <w:rPr>
          <w:sz w:val="28"/>
          <w:szCs w:val="28"/>
        </w:rPr>
        <w:t xml:space="preserve">hat this document contains </w:t>
      </w:r>
      <w:r w:rsidR="00766887">
        <w:rPr>
          <w:sz w:val="28"/>
          <w:szCs w:val="28"/>
        </w:rPr>
        <w:t>3,997</w:t>
      </w:r>
      <w:r>
        <w:rPr>
          <w:sz w:val="28"/>
          <w:szCs w:val="28"/>
        </w:rPr>
        <w:t xml:space="preserve"> words.</w:t>
      </w:r>
    </w:p>
    <w:p w14:paraId="2EFA69E3" w14:textId="77777777" w:rsidR="000D6742" w:rsidRDefault="000D6742" w:rsidP="00AE0C3C">
      <w:pPr>
        <w:pStyle w:val="ListParagraph"/>
        <w:ind w:left="0"/>
        <w:rPr>
          <w:sz w:val="28"/>
          <w:szCs w:val="28"/>
        </w:rPr>
      </w:pPr>
    </w:p>
    <w:p w14:paraId="57BCF49E" w14:textId="77777777" w:rsidR="000D6742" w:rsidRDefault="000D6742" w:rsidP="00AE0C3C">
      <w:pPr>
        <w:pStyle w:val="ListParagraph"/>
        <w:ind w:left="0"/>
        <w:rPr>
          <w:sz w:val="28"/>
          <w:szCs w:val="28"/>
        </w:rPr>
      </w:pPr>
    </w:p>
    <w:p w14:paraId="0701325C" w14:textId="77777777" w:rsidR="000D6742" w:rsidRDefault="000D6742" w:rsidP="00AE0C3C">
      <w:pPr>
        <w:pStyle w:val="ListParagraph"/>
        <w:ind w:left="0"/>
        <w:rPr>
          <w:sz w:val="28"/>
          <w:szCs w:val="28"/>
        </w:rPr>
      </w:pPr>
    </w:p>
    <w:p w14:paraId="53F5A88C" w14:textId="77777777" w:rsidR="008A5287" w:rsidRDefault="008A5287" w:rsidP="00AE0C3C">
      <w:pPr>
        <w:pStyle w:val="ListParagraph"/>
        <w:ind w:left="0"/>
        <w:rPr>
          <w:sz w:val="28"/>
          <w:szCs w:val="28"/>
        </w:rPr>
      </w:pPr>
    </w:p>
    <w:p w14:paraId="124FD462" w14:textId="77777777" w:rsidR="008A5287" w:rsidRDefault="008A5287" w:rsidP="00AE0C3C">
      <w:pPr>
        <w:pStyle w:val="ListParagraph"/>
        <w:ind w:left="0"/>
        <w:rPr>
          <w:sz w:val="28"/>
          <w:szCs w:val="28"/>
        </w:rPr>
      </w:pPr>
    </w:p>
    <w:p w14:paraId="1B937F0F" w14:textId="77777777" w:rsidR="008A5287" w:rsidRDefault="008A5287" w:rsidP="00AE0C3C">
      <w:pPr>
        <w:pStyle w:val="ListParagraph"/>
        <w:tabs>
          <w:tab w:val="left" w:pos="6330"/>
        </w:tabs>
        <w:ind w:left="0"/>
        <w:rPr>
          <w:sz w:val="28"/>
          <w:szCs w:val="28"/>
        </w:rPr>
      </w:pPr>
      <w:r>
        <w:rPr>
          <w:sz w:val="28"/>
          <w:szCs w:val="28"/>
        </w:rPr>
        <w:tab/>
      </w:r>
    </w:p>
    <w:p w14:paraId="047E128F" w14:textId="77777777" w:rsidR="008A5287" w:rsidRDefault="008A5287" w:rsidP="00AE0C3C">
      <w:pPr>
        <w:pStyle w:val="ListParagraph"/>
        <w:ind w:left="0"/>
        <w:rPr>
          <w:sz w:val="28"/>
          <w:szCs w:val="28"/>
        </w:rPr>
      </w:pPr>
    </w:p>
    <w:p w14:paraId="739A9C96" w14:textId="77777777" w:rsidR="004C5986" w:rsidRDefault="008A5287" w:rsidP="00AE0C3C">
      <w:pPr>
        <w:pStyle w:val="ListParagraph"/>
        <w:ind w:left="0"/>
        <w:rPr>
          <w:sz w:val="28"/>
          <w:szCs w:val="28"/>
        </w:rPr>
      </w:pPr>
      <w:r>
        <w:rPr>
          <w:sz w:val="28"/>
          <w:szCs w:val="28"/>
        </w:rPr>
        <w:tab/>
      </w:r>
    </w:p>
    <w:p w14:paraId="0D761FE1" w14:textId="77777777" w:rsidR="004C5986" w:rsidRDefault="00026777" w:rsidP="00AE0C3C">
      <w:pPr>
        <w:pStyle w:val="ListParagraph"/>
        <w:ind w:left="0"/>
        <w:rPr>
          <w:sz w:val="28"/>
          <w:szCs w:val="28"/>
        </w:rPr>
      </w:pPr>
      <w:r>
        <w:rPr>
          <w:sz w:val="28"/>
          <w:szCs w:val="28"/>
        </w:rPr>
        <w:lastRenderedPageBreak/>
        <w:t>STATE OF MINNESOTA</w:t>
      </w:r>
      <w:r>
        <w:rPr>
          <w:sz w:val="28"/>
          <w:szCs w:val="28"/>
        </w:rPr>
        <w:tab/>
      </w:r>
      <w:r>
        <w:rPr>
          <w:sz w:val="28"/>
          <w:szCs w:val="28"/>
        </w:rPr>
        <w:tab/>
      </w:r>
      <w:r>
        <w:rPr>
          <w:sz w:val="28"/>
          <w:szCs w:val="28"/>
        </w:rPr>
        <w:tab/>
        <w:t xml:space="preserve">        </w:t>
      </w:r>
      <w:r w:rsidR="005B3236">
        <w:rPr>
          <w:sz w:val="28"/>
          <w:szCs w:val="28"/>
        </w:rPr>
        <w:tab/>
        <w:t xml:space="preserve">        </w:t>
      </w:r>
      <w:r>
        <w:rPr>
          <w:sz w:val="28"/>
          <w:szCs w:val="28"/>
        </w:rPr>
        <w:t>DISTRICT COURT</w:t>
      </w:r>
    </w:p>
    <w:p w14:paraId="07B1B81C" w14:textId="77777777" w:rsidR="00026777" w:rsidRDefault="00026777" w:rsidP="00AE0C3C">
      <w:pPr>
        <w:pStyle w:val="ListParagraph"/>
        <w:pBdr>
          <w:bottom w:val="single" w:sz="12" w:space="1" w:color="auto"/>
        </w:pBdr>
        <w:ind w:left="0"/>
        <w:rPr>
          <w:sz w:val="28"/>
          <w:szCs w:val="28"/>
        </w:rPr>
      </w:pPr>
      <w:r>
        <w:rPr>
          <w:sz w:val="28"/>
          <w:szCs w:val="28"/>
        </w:rPr>
        <w:t>COUNTY OF STEARNS</w:t>
      </w:r>
      <w:r>
        <w:rPr>
          <w:sz w:val="28"/>
          <w:szCs w:val="28"/>
        </w:rPr>
        <w:tab/>
        <w:t xml:space="preserve">   </w:t>
      </w:r>
      <w:r w:rsidR="005B3236">
        <w:rPr>
          <w:sz w:val="28"/>
          <w:szCs w:val="28"/>
        </w:rPr>
        <w:tab/>
        <w:t xml:space="preserve">   </w:t>
      </w:r>
      <w:r>
        <w:rPr>
          <w:sz w:val="28"/>
          <w:szCs w:val="28"/>
        </w:rPr>
        <w:t>SEVENTH JUDUCIAL DISTRICT</w:t>
      </w:r>
    </w:p>
    <w:p w14:paraId="47F0B495" w14:textId="77777777" w:rsidR="00026777" w:rsidRDefault="00026777" w:rsidP="00AE0C3C">
      <w:pPr>
        <w:pStyle w:val="ListParagraph"/>
        <w:spacing w:line="240" w:lineRule="auto"/>
        <w:ind w:left="0"/>
        <w:rPr>
          <w:sz w:val="28"/>
          <w:szCs w:val="28"/>
        </w:rPr>
      </w:pPr>
    </w:p>
    <w:p w14:paraId="784C8A9F" w14:textId="77777777" w:rsidR="00026777" w:rsidRDefault="00026777" w:rsidP="00AE0C3C">
      <w:pPr>
        <w:pStyle w:val="ListParagraph"/>
        <w:spacing w:line="240" w:lineRule="auto"/>
        <w:ind w:left="0"/>
        <w:rPr>
          <w:sz w:val="28"/>
          <w:szCs w:val="28"/>
        </w:rPr>
      </w:pPr>
      <w:r>
        <w:rPr>
          <w:sz w:val="28"/>
          <w:szCs w:val="28"/>
        </w:rPr>
        <w:t>Paul Peterson</w:t>
      </w:r>
      <w:r>
        <w:rPr>
          <w:sz w:val="28"/>
          <w:szCs w:val="28"/>
        </w:rPr>
        <w:tab/>
      </w:r>
      <w:r>
        <w:rPr>
          <w:sz w:val="28"/>
          <w:szCs w:val="28"/>
        </w:rPr>
        <w:tab/>
      </w:r>
      <w:r>
        <w:rPr>
          <w:sz w:val="28"/>
          <w:szCs w:val="28"/>
        </w:rPr>
        <w:tab/>
        <w:t xml:space="preserve">,        </w:t>
      </w:r>
      <w:r w:rsidR="005B3236">
        <w:rPr>
          <w:sz w:val="28"/>
          <w:szCs w:val="28"/>
        </w:rPr>
        <w:tab/>
        <w:t xml:space="preserve">         </w:t>
      </w:r>
      <w:r>
        <w:rPr>
          <w:sz w:val="28"/>
          <w:szCs w:val="28"/>
        </w:rPr>
        <w:t>Court File No. 73-CV-11-00816</w:t>
      </w:r>
    </w:p>
    <w:p w14:paraId="2B6EF571" w14:textId="77777777" w:rsidR="00026777" w:rsidRDefault="00026777" w:rsidP="00AE0C3C">
      <w:pPr>
        <w:pStyle w:val="ListParagraph"/>
        <w:spacing w:line="240" w:lineRule="auto"/>
        <w:ind w:left="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B3236">
        <w:rPr>
          <w:sz w:val="28"/>
          <w:szCs w:val="28"/>
        </w:rPr>
        <w:tab/>
      </w:r>
      <w:r>
        <w:rPr>
          <w:sz w:val="28"/>
          <w:szCs w:val="28"/>
        </w:rPr>
        <w:t>Judge Michelle Jacobson</w:t>
      </w:r>
    </w:p>
    <w:p w14:paraId="5ACAB74E" w14:textId="77777777" w:rsidR="00026777" w:rsidRDefault="00026777" w:rsidP="00AE0C3C">
      <w:pPr>
        <w:pStyle w:val="ListParagraph"/>
        <w:spacing w:line="240" w:lineRule="auto"/>
        <w:ind w:left="0"/>
        <w:rPr>
          <w:sz w:val="28"/>
          <w:szCs w:val="28"/>
        </w:rPr>
      </w:pPr>
      <w:r>
        <w:rPr>
          <w:sz w:val="28"/>
          <w:szCs w:val="28"/>
        </w:rPr>
        <w:tab/>
      </w:r>
      <w:r>
        <w:rPr>
          <w:sz w:val="28"/>
          <w:szCs w:val="28"/>
        </w:rPr>
        <w:tab/>
      </w:r>
      <w:r>
        <w:rPr>
          <w:sz w:val="28"/>
          <w:szCs w:val="28"/>
        </w:rPr>
        <w:tab/>
        <w:t xml:space="preserve">    </w:t>
      </w:r>
      <w:r>
        <w:rPr>
          <w:sz w:val="28"/>
          <w:szCs w:val="28"/>
        </w:rPr>
        <w:tab/>
        <w:t xml:space="preserve">  Plaintiff,</w:t>
      </w:r>
    </w:p>
    <w:p w14:paraId="2DE72193" w14:textId="77777777" w:rsidR="00026777" w:rsidRDefault="00026777" w:rsidP="00AE0C3C">
      <w:pPr>
        <w:pStyle w:val="ListParagraph"/>
        <w:spacing w:line="240" w:lineRule="auto"/>
        <w:ind w:left="0"/>
        <w:rPr>
          <w:sz w:val="28"/>
          <w:szCs w:val="28"/>
        </w:rPr>
      </w:pPr>
    </w:p>
    <w:p w14:paraId="16FFD002" w14:textId="77777777" w:rsidR="00CF2C73" w:rsidRDefault="00CF2C73" w:rsidP="00AE0C3C">
      <w:pPr>
        <w:pStyle w:val="ListParagraph"/>
        <w:spacing w:line="240" w:lineRule="auto"/>
        <w:ind w:left="0"/>
        <w:rPr>
          <w:sz w:val="28"/>
          <w:szCs w:val="28"/>
        </w:rPr>
      </w:pPr>
    </w:p>
    <w:p w14:paraId="6EDB9AC4" w14:textId="77777777" w:rsidR="00026777" w:rsidRDefault="00026777" w:rsidP="00AE0C3C">
      <w:pPr>
        <w:pStyle w:val="ListParagraph"/>
        <w:spacing w:line="240" w:lineRule="auto"/>
        <w:ind w:left="0"/>
        <w:rPr>
          <w:sz w:val="28"/>
          <w:szCs w:val="28"/>
        </w:rPr>
      </w:pPr>
      <w:r>
        <w:rPr>
          <w:sz w:val="28"/>
          <w:szCs w:val="28"/>
        </w:rPr>
        <w:t>vs.</w:t>
      </w:r>
    </w:p>
    <w:p w14:paraId="79CD3A53" w14:textId="77777777" w:rsidR="00026777" w:rsidRDefault="00026777" w:rsidP="00AE0C3C">
      <w:pPr>
        <w:pStyle w:val="ListParagraph"/>
        <w:spacing w:line="240" w:lineRule="auto"/>
        <w:ind w:left="0"/>
        <w:rPr>
          <w:sz w:val="28"/>
          <w:szCs w:val="28"/>
        </w:rPr>
      </w:pPr>
    </w:p>
    <w:p w14:paraId="51437C5C" w14:textId="77777777" w:rsidR="00026777" w:rsidRDefault="00026777" w:rsidP="00AE0C3C">
      <w:pPr>
        <w:pStyle w:val="ListParagraph"/>
        <w:spacing w:line="240" w:lineRule="auto"/>
        <w:ind w:left="0"/>
        <w:rPr>
          <w:sz w:val="28"/>
          <w:szCs w:val="28"/>
        </w:rPr>
      </w:pPr>
    </w:p>
    <w:p w14:paraId="2506B927" w14:textId="77777777" w:rsidR="00026777" w:rsidRDefault="00026777" w:rsidP="00AE0C3C">
      <w:pPr>
        <w:pStyle w:val="ListParagraph"/>
        <w:spacing w:line="240" w:lineRule="auto"/>
        <w:ind w:left="0"/>
        <w:rPr>
          <w:sz w:val="28"/>
          <w:szCs w:val="28"/>
        </w:rPr>
      </w:pPr>
      <w:r>
        <w:rPr>
          <w:sz w:val="28"/>
          <w:szCs w:val="28"/>
        </w:rPr>
        <w:t>Gopher Prairie School District,</w:t>
      </w:r>
    </w:p>
    <w:p w14:paraId="0DF9DDF2" w14:textId="77777777" w:rsidR="00026777" w:rsidRDefault="00026777" w:rsidP="00AE0C3C">
      <w:pPr>
        <w:pStyle w:val="ListParagraph"/>
        <w:spacing w:line="240" w:lineRule="auto"/>
        <w:ind w:left="0"/>
        <w:rPr>
          <w:sz w:val="28"/>
          <w:szCs w:val="28"/>
        </w:rPr>
      </w:pPr>
    </w:p>
    <w:p w14:paraId="45C4390C" w14:textId="77777777" w:rsidR="00026777" w:rsidRDefault="00026777" w:rsidP="00AE0C3C">
      <w:pPr>
        <w:pStyle w:val="ListParagraph"/>
        <w:pBdr>
          <w:bottom w:val="single" w:sz="12" w:space="1" w:color="auto"/>
        </w:pBdr>
        <w:ind w:left="0"/>
        <w:rPr>
          <w:sz w:val="28"/>
          <w:szCs w:val="28"/>
        </w:rPr>
      </w:pPr>
      <w:r>
        <w:rPr>
          <w:sz w:val="28"/>
          <w:szCs w:val="28"/>
        </w:rPr>
        <w:tab/>
      </w:r>
      <w:r>
        <w:rPr>
          <w:sz w:val="28"/>
          <w:szCs w:val="28"/>
        </w:rPr>
        <w:tab/>
      </w:r>
      <w:r>
        <w:rPr>
          <w:sz w:val="28"/>
          <w:szCs w:val="28"/>
        </w:rPr>
        <w:tab/>
      </w:r>
      <w:r>
        <w:rPr>
          <w:sz w:val="28"/>
          <w:szCs w:val="28"/>
        </w:rPr>
        <w:tab/>
        <w:t>Defendant.</w:t>
      </w:r>
    </w:p>
    <w:p w14:paraId="13CD5AAD" w14:textId="77777777" w:rsidR="00026777" w:rsidRDefault="00026777" w:rsidP="00AE0C3C">
      <w:pPr>
        <w:pStyle w:val="ListParagraph"/>
        <w:spacing w:line="240" w:lineRule="auto"/>
        <w:ind w:left="0"/>
        <w:rPr>
          <w:sz w:val="28"/>
          <w:szCs w:val="28"/>
        </w:rPr>
      </w:pPr>
    </w:p>
    <w:p w14:paraId="481C661B" w14:textId="77777777" w:rsidR="00026777" w:rsidRPr="00026777" w:rsidRDefault="00026777" w:rsidP="00AE0C3C">
      <w:pPr>
        <w:pStyle w:val="ListParagraph"/>
        <w:spacing w:line="240" w:lineRule="auto"/>
        <w:ind w:left="0"/>
        <w:jc w:val="center"/>
        <w:rPr>
          <w:b/>
          <w:sz w:val="28"/>
          <w:szCs w:val="28"/>
        </w:rPr>
      </w:pPr>
      <w:r w:rsidRPr="00026777">
        <w:rPr>
          <w:b/>
          <w:sz w:val="28"/>
          <w:szCs w:val="28"/>
        </w:rPr>
        <w:t>Plaintiff’s Memorandum of Law Opposing Summary Judgment</w:t>
      </w:r>
    </w:p>
    <w:p w14:paraId="0485E9B0" w14:textId="77777777" w:rsidR="00026777" w:rsidRDefault="00026777" w:rsidP="00AE0C3C">
      <w:pPr>
        <w:pStyle w:val="ListParagraph"/>
        <w:pBdr>
          <w:bottom w:val="single" w:sz="12" w:space="1" w:color="auto"/>
        </w:pBdr>
        <w:spacing w:line="240" w:lineRule="auto"/>
        <w:ind w:left="0"/>
        <w:jc w:val="center"/>
        <w:rPr>
          <w:sz w:val="28"/>
          <w:szCs w:val="28"/>
        </w:rPr>
      </w:pPr>
    </w:p>
    <w:p w14:paraId="2062AA2E" w14:textId="77777777" w:rsidR="00026777" w:rsidRDefault="00026777" w:rsidP="005B3236">
      <w:pPr>
        <w:pStyle w:val="ListParagraph"/>
        <w:spacing w:line="240" w:lineRule="auto"/>
        <w:ind w:left="0"/>
        <w:jc w:val="center"/>
        <w:rPr>
          <w:sz w:val="28"/>
          <w:szCs w:val="28"/>
        </w:rPr>
      </w:pPr>
    </w:p>
    <w:p w14:paraId="042764C1" w14:textId="77777777" w:rsidR="00026777" w:rsidRDefault="001850E2" w:rsidP="00AE0C3C">
      <w:pPr>
        <w:pStyle w:val="ListParagraph"/>
        <w:ind w:left="0"/>
        <w:jc w:val="center"/>
        <w:rPr>
          <w:b/>
          <w:sz w:val="28"/>
          <w:szCs w:val="28"/>
        </w:rPr>
      </w:pPr>
      <w:r w:rsidRPr="001850E2">
        <w:rPr>
          <w:b/>
          <w:sz w:val="28"/>
          <w:szCs w:val="28"/>
        </w:rPr>
        <w:t>Introduction</w:t>
      </w:r>
    </w:p>
    <w:p w14:paraId="765102DF" w14:textId="77777777" w:rsidR="00501E4E" w:rsidRPr="00FF609A" w:rsidRDefault="001850E2" w:rsidP="00AE0C3C">
      <w:pPr>
        <w:pStyle w:val="ListParagraph"/>
        <w:ind w:left="0"/>
        <w:rPr>
          <w:sz w:val="28"/>
          <w:szCs w:val="28"/>
        </w:rPr>
      </w:pPr>
      <w:r>
        <w:rPr>
          <w:sz w:val="28"/>
          <w:szCs w:val="28"/>
        </w:rPr>
        <w:tab/>
        <w:t xml:space="preserve">Paul Peterson, the Plaintiff in this matter, was suspended by Gopher Prairie School District, the Defendant, because of the tattoo he received on his eighteenth birthday. The school district claims that Peterson’s tattoo was not </w:t>
      </w:r>
      <w:r w:rsidR="00501E4E">
        <w:rPr>
          <w:sz w:val="28"/>
          <w:szCs w:val="28"/>
        </w:rPr>
        <w:t>covered by the First Amendment right of free speech because there was a possibility of a disruption in the school day related to Peterson’s tattoo. However, Peterson’s tattoo did not evoke anywhere near the problems described in precedent pertaining to the free speech rights of stud</w:t>
      </w:r>
      <w:r w:rsidR="00D817AB">
        <w:rPr>
          <w:sz w:val="28"/>
          <w:szCs w:val="28"/>
        </w:rPr>
        <w:t xml:space="preserve">ents. In this </w:t>
      </w:r>
      <w:r w:rsidR="00D817AB">
        <w:rPr>
          <w:sz w:val="28"/>
          <w:szCs w:val="28"/>
        </w:rPr>
        <w:lastRenderedPageBreak/>
        <w:t>case, t</w:t>
      </w:r>
      <w:r w:rsidR="00501E4E">
        <w:rPr>
          <w:sz w:val="28"/>
          <w:szCs w:val="28"/>
        </w:rPr>
        <w:t>here is a genuine material fact in this case and urge the court to rule against the school district’s motion for summary judgment.</w:t>
      </w:r>
    </w:p>
    <w:p w14:paraId="1CE81F26" w14:textId="77777777" w:rsidR="00501E4E" w:rsidRPr="00501E4E" w:rsidRDefault="00501E4E" w:rsidP="00AE0C3C">
      <w:pPr>
        <w:pStyle w:val="ListParagraph"/>
        <w:ind w:left="0"/>
        <w:jc w:val="center"/>
        <w:rPr>
          <w:b/>
          <w:sz w:val="28"/>
          <w:szCs w:val="28"/>
        </w:rPr>
      </w:pPr>
      <w:r w:rsidRPr="00501E4E">
        <w:rPr>
          <w:b/>
          <w:sz w:val="28"/>
          <w:szCs w:val="28"/>
        </w:rPr>
        <w:t>Issue</w:t>
      </w:r>
    </w:p>
    <w:p w14:paraId="0FFFAB48" w14:textId="77777777" w:rsidR="00501E4E" w:rsidRDefault="00501E4E" w:rsidP="00AE0C3C">
      <w:pPr>
        <w:pStyle w:val="ListParagraph"/>
        <w:ind w:left="0"/>
        <w:rPr>
          <w:sz w:val="28"/>
          <w:szCs w:val="28"/>
        </w:rPr>
      </w:pPr>
      <w:r>
        <w:rPr>
          <w:sz w:val="28"/>
          <w:szCs w:val="28"/>
        </w:rPr>
        <w:tab/>
        <w:t>Can a school district violate the First Amendment rights of a student based solely upon the fear of a substantial disruption</w:t>
      </w:r>
      <w:r w:rsidR="00CF2C73">
        <w:rPr>
          <w:sz w:val="28"/>
          <w:szCs w:val="28"/>
        </w:rPr>
        <w:t xml:space="preserve"> and not actual proof that a substantial disruption was likely to occur</w:t>
      </w:r>
      <w:r>
        <w:rPr>
          <w:sz w:val="28"/>
          <w:szCs w:val="28"/>
        </w:rPr>
        <w:t>?</w:t>
      </w:r>
    </w:p>
    <w:p w14:paraId="5E5A9EA7" w14:textId="77777777" w:rsidR="00E72F30" w:rsidRDefault="00E72F30" w:rsidP="00AE0C3C">
      <w:pPr>
        <w:pStyle w:val="ListParagraph"/>
        <w:ind w:left="0"/>
        <w:jc w:val="center"/>
        <w:rPr>
          <w:b/>
          <w:sz w:val="28"/>
          <w:szCs w:val="28"/>
        </w:rPr>
      </w:pPr>
      <w:r w:rsidRPr="00E72F30">
        <w:rPr>
          <w:b/>
          <w:sz w:val="28"/>
          <w:szCs w:val="28"/>
        </w:rPr>
        <w:t>Procedure</w:t>
      </w:r>
    </w:p>
    <w:p w14:paraId="55856108" w14:textId="77777777" w:rsidR="00E72F30" w:rsidRPr="00E72F30" w:rsidRDefault="00E72F30" w:rsidP="00AE0C3C">
      <w:pPr>
        <w:pStyle w:val="ListParagraph"/>
        <w:ind w:left="0"/>
        <w:rPr>
          <w:sz w:val="28"/>
          <w:szCs w:val="28"/>
        </w:rPr>
      </w:pPr>
      <w:r>
        <w:rPr>
          <w:sz w:val="28"/>
          <w:szCs w:val="28"/>
        </w:rPr>
        <w:tab/>
        <w:t xml:space="preserve">Peterson filed the complaint in this case on October 28, 2011 which was followed by the school district’s answer three days later. The school district answered Peterson’s requests for admissions on November 7, 2011 </w:t>
      </w:r>
      <w:r w:rsidR="00D817AB">
        <w:rPr>
          <w:sz w:val="28"/>
          <w:szCs w:val="28"/>
        </w:rPr>
        <w:t xml:space="preserve">and the school district deposed Peterson </w:t>
      </w:r>
      <w:r>
        <w:rPr>
          <w:sz w:val="28"/>
          <w:szCs w:val="28"/>
        </w:rPr>
        <w:t xml:space="preserve">on December 1, 2011. </w:t>
      </w:r>
      <w:r w:rsidR="00D817AB">
        <w:rPr>
          <w:sz w:val="28"/>
          <w:szCs w:val="28"/>
        </w:rPr>
        <w:t>The school district filed its</w:t>
      </w:r>
      <w:r>
        <w:rPr>
          <w:sz w:val="28"/>
          <w:szCs w:val="28"/>
        </w:rPr>
        <w:t xml:space="preserve"> motion for summary judgment on February 15, 2012.</w:t>
      </w:r>
    </w:p>
    <w:p w14:paraId="78E84D1D" w14:textId="77777777" w:rsidR="00501E4E" w:rsidRDefault="00501E4E" w:rsidP="00AE0C3C">
      <w:pPr>
        <w:pStyle w:val="ListParagraph"/>
        <w:ind w:left="0"/>
        <w:jc w:val="center"/>
        <w:rPr>
          <w:b/>
          <w:sz w:val="28"/>
          <w:szCs w:val="28"/>
        </w:rPr>
      </w:pPr>
      <w:r w:rsidRPr="00501E4E">
        <w:rPr>
          <w:b/>
          <w:sz w:val="28"/>
          <w:szCs w:val="28"/>
        </w:rPr>
        <w:t>Facts</w:t>
      </w:r>
    </w:p>
    <w:p w14:paraId="02E3503E" w14:textId="77777777" w:rsidR="0099283C" w:rsidRPr="00501E4E" w:rsidRDefault="00CF2C73" w:rsidP="00AE0C3C">
      <w:pPr>
        <w:pStyle w:val="ListParagraph"/>
        <w:numPr>
          <w:ilvl w:val="0"/>
          <w:numId w:val="6"/>
        </w:numPr>
        <w:ind w:left="0"/>
        <w:rPr>
          <w:b/>
          <w:sz w:val="28"/>
          <w:szCs w:val="28"/>
        </w:rPr>
      </w:pPr>
      <w:r>
        <w:rPr>
          <w:b/>
          <w:sz w:val="28"/>
          <w:szCs w:val="28"/>
        </w:rPr>
        <w:t>Paul Peterson &amp; His Tattoo</w:t>
      </w:r>
    </w:p>
    <w:p w14:paraId="658A13FE" w14:textId="77777777" w:rsidR="00501E4E" w:rsidRDefault="001A73FC" w:rsidP="00AE0C3C">
      <w:pPr>
        <w:pStyle w:val="ListParagraph"/>
        <w:ind w:left="0"/>
        <w:rPr>
          <w:sz w:val="28"/>
          <w:szCs w:val="28"/>
        </w:rPr>
      </w:pPr>
      <w:r>
        <w:rPr>
          <w:sz w:val="28"/>
          <w:szCs w:val="28"/>
        </w:rPr>
        <w:tab/>
      </w:r>
      <w:r w:rsidR="00501E4E">
        <w:rPr>
          <w:sz w:val="28"/>
          <w:szCs w:val="28"/>
        </w:rPr>
        <w:t xml:space="preserve">Paul Peterson is a senior in the Gopher Prairie School District. </w:t>
      </w:r>
      <w:r>
        <w:rPr>
          <w:sz w:val="28"/>
          <w:szCs w:val="28"/>
        </w:rPr>
        <w:t>He actively participates in many extracurricular activities and, because of his academic talents, plans on attending college in the fall after he graduates. On his eighteenth birthday, he and his parents agreed he would be allowed to get a tattoo of General Robert E. Lee as well as a Confederate flag tattooed on his bicep. Peterson stated that the</w:t>
      </w:r>
      <w:r w:rsidR="00D817AB">
        <w:rPr>
          <w:sz w:val="28"/>
          <w:szCs w:val="28"/>
        </w:rPr>
        <w:t>re were three</w:t>
      </w:r>
      <w:r>
        <w:rPr>
          <w:sz w:val="28"/>
          <w:szCs w:val="28"/>
        </w:rPr>
        <w:t xml:space="preserve"> reasons he wanted to get t</w:t>
      </w:r>
      <w:r w:rsidR="00D817AB">
        <w:rPr>
          <w:sz w:val="28"/>
          <w:szCs w:val="28"/>
        </w:rPr>
        <w:t xml:space="preserve">his </w:t>
      </w:r>
      <w:r w:rsidR="00D817AB">
        <w:rPr>
          <w:sz w:val="28"/>
          <w:szCs w:val="28"/>
        </w:rPr>
        <w:lastRenderedPageBreak/>
        <w:t>tattoo</w:t>
      </w:r>
      <w:r>
        <w:rPr>
          <w:sz w:val="28"/>
          <w:szCs w:val="28"/>
        </w:rPr>
        <w:t>. First, he is a direct descendent of Robert E. Lee. Second, he wanted to celebrate his southern heritage. And finally, he had recently learned that General Lee was against the idea of slavery in the South and only fought for them after Virginia seceded fr</w:t>
      </w:r>
      <w:r w:rsidR="00D817AB">
        <w:rPr>
          <w:sz w:val="28"/>
          <w:szCs w:val="28"/>
        </w:rPr>
        <w:t>om the Union. Pl.’s</w:t>
      </w:r>
      <w:r>
        <w:rPr>
          <w:sz w:val="28"/>
          <w:szCs w:val="28"/>
        </w:rPr>
        <w:t xml:space="preserve"> Dep. 39:15 – 40:3, December 1, 2011. </w:t>
      </w:r>
    </w:p>
    <w:p w14:paraId="7D2DDD53" w14:textId="77777777" w:rsidR="00CF2C73" w:rsidRPr="00CF2C73" w:rsidRDefault="00CF2C73" w:rsidP="00AE0C3C">
      <w:pPr>
        <w:pStyle w:val="ListParagraph"/>
        <w:numPr>
          <w:ilvl w:val="0"/>
          <w:numId w:val="6"/>
        </w:numPr>
        <w:ind w:left="0"/>
        <w:rPr>
          <w:b/>
          <w:sz w:val="28"/>
          <w:szCs w:val="28"/>
        </w:rPr>
      </w:pPr>
      <w:r w:rsidRPr="00CF2C73">
        <w:rPr>
          <w:b/>
          <w:sz w:val="28"/>
          <w:szCs w:val="28"/>
        </w:rPr>
        <w:t>The School’s Reaction</w:t>
      </w:r>
    </w:p>
    <w:p w14:paraId="6390B921" w14:textId="77777777" w:rsidR="00CF2C73" w:rsidRDefault="00355415" w:rsidP="00AE0C3C">
      <w:pPr>
        <w:pStyle w:val="ListParagraph"/>
        <w:ind w:left="0"/>
        <w:rPr>
          <w:sz w:val="28"/>
          <w:szCs w:val="28"/>
        </w:rPr>
      </w:pPr>
      <w:r>
        <w:rPr>
          <w:sz w:val="28"/>
          <w:szCs w:val="28"/>
        </w:rPr>
        <w:tab/>
        <w:t xml:space="preserve">One of the teachers in the Gopher Prairie School District saw the tattoo during a school day and reported Peterson to Principal Milford. On October 17, 2011, Milford told Peterson that his tattoo was inappropriate for a school setting and that he had three options: cover it up, get it surgically removed, or be suspended from school. The next day, Peterson arrived at school without his tattoo covered and </w:t>
      </w:r>
      <w:r w:rsidR="0099283C">
        <w:rPr>
          <w:sz w:val="28"/>
          <w:szCs w:val="28"/>
        </w:rPr>
        <w:t xml:space="preserve">because of this </w:t>
      </w:r>
      <w:r>
        <w:rPr>
          <w:sz w:val="28"/>
          <w:szCs w:val="28"/>
        </w:rPr>
        <w:t xml:space="preserve">Milford suspended him. </w:t>
      </w:r>
    </w:p>
    <w:p w14:paraId="421B0A1E" w14:textId="77777777" w:rsidR="0099283C" w:rsidRDefault="00CF2C73" w:rsidP="00AE0C3C">
      <w:pPr>
        <w:pStyle w:val="ListParagraph"/>
        <w:ind w:left="0"/>
        <w:rPr>
          <w:sz w:val="28"/>
          <w:szCs w:val="28"/>
        </w:rPr>
      </w:pPr>
      <w:r>
        <w:rPr>
          <w:sz w:val="28"/>
          <w:szCs w:val="28"/>
        </w:rPr>
        <w:tab/>
      </w:r>
      <w:r w:rsidR="00355415">
        <w:rPr>
          <w:sz w:val="28"/>
          <w:szCs w:val="28"/>
        </w:rPr>
        <w:t xml:space="preserve">The following evening, Milford sent a letter </w:t>
      </w:r>
      <w:r w:rsidR="0099283C">
        <w:rPr>
          <w:sz w:val="28"/>
          <w:szCs w:val="28"/>
        </w:rPr>
        <w:t>to Peterson’s home confirming the suspension by the school board and indicating that the tattoo did not comply with the school district’s mission to “instill cultural understanding and the importance of equality in school, the community, and society in general.” Def.’s Resp. to Pl.’s Req. for Admis.</w:t>
      </w:r>
      <w:r>
        <w:rPr>
          <w:sz w:val="28"/>
          <w:szCs w:val="28"/>
        </w:rPr>
        <w:t xml:space="preserve"> Ex. A. The school district</w:t>
      </w:r>
      <w:r w:rsidR="0099283C">
        <w:rPr>
          <w:sz w:val="28"/>
          <w:szCs w:val="28"/>
        </w:rPr>
        <w:t xml:space="preserve"> later admitted that it retains the “sole discretion to determine what content may be inappropriate for a public-school setting.” </w:t>
      </w:r>
      <w:r w:rsidR="0099283C">
        <w:rPr>
          <w:i/>
          <w:sz w:val="28"/>
          <w:szCs w:val="28"/>
        </w:rPr>
        <w:t xml:space="preserve">Id. </w:t>
      </w:r>
      <w:r w:rsidR="0099283C">
        <w:rPr>
          <w:sz w:val="28"/>
          <w:szCs w:val="28"/>
        </w:rPr>
        <w:t>at No. 6.</w:t>
      </w:r>
      <w:r>
        <w:rPr>
          <w:sz w:val="28"/>
          <w:szCs w:val="28"/>
        </w:rPr>
        <w:t xml:space="preserve"> </w:t>
      </w:r>
      <w:r>
        <w:rPr>
          <w:sz w:val="28"/>
          <w:szCs w:val="28"/>
        </w:rPr>
        <w:lastRenderedPageBreak/>
        <w:t xml:space="preserve">Peterson returned to school two days after the letter was sent by Milford because he feared </w:t>
      </w:r>
      <w:r w:rsidR="00D817AB">
        <w:rPr>
          <w:sz w:val="28"/>
          <w:szCs w:val="28"/>
        </w:rPr>
        <w:t>his absence from school would delay</w:t>
      </w:r>
      <w:r>
        <w:rPr>
          <w:sz w:val="28"/>
          <w:szCs w:val="28"/>
        </w:rPr>
        <w:t xml:space="preserve"> his graduation. </w:t>
      </w:r>
    </w:p>
    <w:p w14:paraId="226006A7" w14:textId="77777777" w:rsidR="00E93746" w:rsidRPr="00E93746" w:rsidRDefault="00E93746" w:rsidP="00D51276">
      <w:pPr>
        <w:pStyle w:val="ListParagraph"/>
        <w:numPr>
          <w:ilvl w:val="0"/>
          <w:numId w:val="6"/>
        </w:numPr>
        <w:rPr>
          <w:sz w:val="28"/>
          <w:szCs w:val="28"/>
        </w:rPr>
      </w:pPr>
      <w:r>
        <w:rPr>
          <w:b/>
          <w:sz w:val="28"/>
          <w:szCs w:val="28"/>
        </w:rPr>
        <w:t>Racially Motivated Events in Gopher Prairie and Lake Wobegon</w:t>
      </w:r>
    </w:p>
    <w:p w14:paraId="58EC01C5" w14:textId="77777777" w:rsidR="005F017F" w:rsidRDefault="00E93746" w:rsidP="00D51276">
      <w:pPr>
        <w:contextualSpacing/>
        <w:rPr>
          <w:sz w:val="28"/>
          <w:szCs w:val="28"/>
        </w:rPr>
      </w:pPr>
      <w:r>
        <w:rPr>
          <w:sz w:val="28"/>
          <w:szCs w:val="28"/>
        </w:rPr>
        <w:tab/>
      </w:r>
      <w:r w:rsidR="005F017F">
        <w:rPr>
          <w:sz w:val="28"/>
          <w:szCs w:val="28"/>
        </w:rPr>
        <w:t>Peterson stated in his deposition that there were a handful of racially motivated incidents in Gopher Prairie and Lake Wobegon, a community eight miles away. Lake Wobegon has had many racial problems including the taunting of racial minority athletes at sporting events, Ku Klux Klan signs being put up in the hallways of the school, one student starting an online group called the Aryan Brotherhood of Lake Wobegon High School, and other incidents involving hazing and threats of violence against racial minorities. Three minority students who attended Lake Wobegon decided to transfer away because of all of the incidents. They all ended up transferring to Gopher Prairie.</w:t>
      </w:r>
      <w:r w:rsidR="0085661A">
        <w:rPr>
          <w:sz w:val="28"/>
          <w:szCs w:val="28"/>
        </w:rPr>
        <w:t xml:space="preserve"> </w:t>
      </w:r>
      <w:r w:rsidR="00D817AB">
        <w:rPr>
          <w:sz w:val="28"/>
          <w:szCs w:val="28"/>
        </w:rPr>
        <w:t>Pl.’s Dep. 100:3-4, December 1, 2011.</w:t>
      </w:r>
    </w:p>
    <w:p w14:paraId="710CB8E2" w14:textId="77777777" w:rsidR="00E93746" w:rsidRDefault="00E93746" w:rsidP="00D51276">
      <w:pPr>
        <w:contextualSpacing/>
        <w:rPr>
          <w:sz w:val="28"/>
          <w:szCs w:val="28"/>
        </w:rPr>
      </w:pPr>
      <w:r>
        <w:rPr>
          <w:sz w:val="28"/>
          <w:szCs w:val="28"/>
        </w:rPr>
        <w:tab/>
        <w:t>The events which took place in Gopher Prairie were of a different nature. The first incident involved a Lake Wobegon resid</w:t>
      </w:r>
      <w:r w:rsidR="00E508F1">
        <w:rPr>
          <w:sz w:val="28"/>
          <w:szCs w:val="28"/>
        </w:rPr>
        <w:t xml:space="preserve">ent hanging a “Wites [sic] Only” </w:t>
      </w:r>
      <w:r w:rsidR="00894B37">
        <w:rPr>
          <w:sz w:val="28"/>
          <w:szCs w:val="28"/>
        </w:rPr>
        <w:t>banner up. The second incident involved a factory making</w:t>
      </w:r>
      <w:r w:rsidR="00D817AB">
        <w:rPr>
          <w:sz w:val="28"/>
          <w:szCs w:val="28"/>
        </w:rPr>
        <w:t xml:space="preserve"> an employment decision to </w:t>
      </w:r>
      <w:r w:rsidR="00E508F1">
        <w:rPr>
          <w:sz w:val="28"/>
          <w:szCs w:val="28"/>
        </w:rPr>
        <w:t>lay off</w:t>
      </w:r>
      <w:r w:rsidR="00894B37">
        <w:rPr>
          <w:sz w:val="28"/>
          <w:szCs w:val="28"/>
        </w:rPr>
        <w:t xml:space="preserve"> some of its white workers in order to hire some of the immigrant workers in the area. The laid</w:t>
      </w:r>
      <w:r w:rsidR="00E508F1">
        <w:rPr>
          <w:sz w:val="28"/>
          <w:szCs w:val="28"/>
        </w:rPr>
        <w:t xml:space="preserve"> </w:t>
      </w:r>
      <w:r w:rsidR="00894B37">
        <w:rPr>
          <w:sz w:val="28"/>
          <w:szCs w:val="28"/>
        </w:rPr>
        <w:t>off workers held a protest where some racially insensitive slurs were heard</w:t>
      </w:r>
      <w:r w:rsidR="00D817AB">
        <w:rPr>
          <w:sz w:val="28"/>
          <w:szCs w:val="28"/>
        </w:rPr>
        <w:t xml:space="preserve"> and three of the replacement workers were </w:t>
      </w:r>
      <w:r w:rsidR="00E508F1">
        <w:rPr>
          <w:sz w:val="28"/>
          <w:szCs w:val="28"/>
        </w:rPr>
        <w:t>assaulted</w:t>
      </w:r>
      <w:r w:rsidR="00894B37">
        <w:rPr>
          <w:sz w:val="28"/>
          <w:szCs w:val="28"/>
        </w:rPr>
        <w:t>.</w:t>
      </w:r>
    </w:p>
    <w:p w14:paraId="101D9989" w14:textId="77777777" w:rsidR="00E93746" w:rsidRPr="00894B37" w:rsidRDefault="00E93746" w:rsidP="00D51276">
      <w:pPr>
        <w:pStyle w:val="ListParagraph"/>
        <w:numPr>
          <w:ilvl w:val="0"/>
          <w:numId w:val="6"/>
        </w:numPr>
        <w:rPr>
          <w:sz w:val="28"/>
          <w:szCs w:val="28"/>
        </w:rPr>
      </w:pPr>
      <w:r>
        <w:rPr>
          <w:b/>
          <w:sz w:val="28"/>
          <w:szCs w:val="28"/>
        </w:rPr>
        <w:lastRenderedPageBreak/>
        <w:t>Effect of Peterson’s Tattoo on Gopher Prairie School District and Other Students.</w:t>
      </w:r>
    </w:p>
    <w:p w14:paraId="5A97D1BE" w14:textId="77777777" w:rsidR="009A1F35" w:rsidRDefault="00894B37" w:rsidP="00D51276">
      <w:pPr>
        <w:contextualSpacing/>
        <w:rPr>
          <w:sz w:val="28"/>
          <w:szCs w:val="28"/>
        </w:rPr>
      </w:pPr>
      <w:r>
        <w:rPr>
          <w:sz w:val="28"/>
          <w:szCs w:val="28"/>
        </w:rPr>
        <w:tab/>
      </w:r>
      <w:r w:rsidR="009A1F35">
        <w:rPr>
          <w:sz w:val="28"/>
          <w:szCs w:val="28"/>
        </w:rPr>
        <w:t>Peterson stated that many of his fellow students at Gopher Prairie have either complimented him on his tattoo or have approached him if they had questions about his choice of General Lee’s head and the Confederate flag. He also stated that none of his fellow students had made negative comments about his tattoo to him personally and that many students “were pretty supportive when they found out what the school was trying to do and my suspension.” Pl.’s Dep. 80:7-9.</w:t>
      </w:r>
      <w:r w:rsidR="00D817AB">
        <w:rPr>
          <w:sz w:val="28"/>
          <w:szCs w:val="28"/>
        </w:rPr>
        <w:t xml:space="preserve"> Specifically, both Ralph Johnson and Brian Chen, of African-American and Taiwanese descent respectively, commented on Peterson’s tattoo. After Peterson discussed his reasons for getting the tattoo, both Johnson and Chen told Peterson they had no problem with his tattoo. </w:t>
      </w:r>
      <w:r w:rsidR="00D817AB">
        <w:rPr>
          <w:i/>
          <w:sz w:val="28"/>
          <w:szCs w:val="28"/>
        </w:rPr>
        <w:t xml:space="preserve">Id </w:t>
      </w:r>
      <w:r w:rsidR="00D817AB">
        <w:rPr>
          <w:sz w:val="28"/>
          <w:szCs w:val="28"/>
        </w:rPr>
        <w:t xml:space="preserve">at 79:13-80:2.  </w:t>
      </w:r>
    </w:p>
    <w:p w14:paraId="0D564FFA" w14:textId="77777777" w:rsidR="00FF609A" w:rsidRDefault="009A1F35" w:rsidP="00D51276">
      <w:pPr>
        <w:contextualSpacing/>
        <w:rPr>
          <w:sz w:val="28"/>
          <w:szCs w:val="28"/>
        </w:rPr>
      </w:pPr>
      <w:r>
        <w:rPr>
          <w:sz w:val="28"/>
          <w:szCs w:val="28"/>
        </w:rPr>
        <w:tab/>
      </w:r>
      <w:r w:rsidR="00496970">
        <w:rPr>
          <w:sz w:val="28"/>
          <w:szCs w:val="28"/>
        </w:rPr>
        <w:t xml:space="preserve">Peterson stated in his deposition that there were no disruptions or problems caused by his tattoo other than the school suspending him for it. Pl.’s Dep. 81:19-20. The school district admitted that there have been no other complaints made to Milford by a teacher or a student about problems arising from Peterson’s tattoo other than the original complaint. Milford, in her letter addressed to Peterson’s parents, also admitted that “Paul claimed that no one he spoke to was offended and that there have been no </w:t>
      </w:r>
      <w:r w:rsidR="00496970">
        <w:rPr>
          <w:sz w:val="28"/>
          <w:szCs w:val="28"/>
        </w:rPr>
        <w:lastRenderedPageBreak/>
        <w:t>documented classroom disruptions [.]” resulting from his tattoo. Pl.’</w:t>
      </w:r>
      <w:r>
        <w:rPr>
          <w:sz w:val="28"/>
          <w:szCs w:val="28"/>
        </w:rPr>
        <w:t xml:space="preserve">s Ex. A. Finally, the school district admitted in the Plaintiff’s Requests for Admissions that there has never been a racially motivated incident at Gopher Prairie </w:t>
      </w:r>
      <w:r w:rsidR="002D21EE">
        <w:rPr>
          <w:sz w:val="28"/>
          <w:szCs w:val="28"/>
        </w:rPr>
        <w:t>School</w:t>
      </w:r>
      <w:r>
        <w:rPr>
          <w:sz w:val="28"/>
          <w:szCs w:val="28"/>
        </w:rPr>
        <w:t xml:space="preserve"> and no student has ever been suspended for any role in a racially motivated incident at Gopher Prairie. Def.’s Resp. to Pl.’s Req. for Admis. Nos. 9-10.</w:t>
      </w:r>
    </w:p>
    <w:p w14:paraId="4346D727" w14:textId="77777777" w:rsidR="00F2588F" w:rsidRDefault="00F2588F" w:rsidP="00F2588F">
      <w:pPr>
        <w:pStyle w:val="ListParagraph"/>
        <w:ind w:left="0"/>
        <w:jc w:val="center"/>
        <w:rPr>
          <w:b/>
          <w:sz w:val="28"/>
          <w:szCs w:val="28"/>
        </w:rPr>
      </w:pPr>
      <w:r w:rsidRPr="00F525BB">
        <w:rPr>
          <w:b/>
          <w:sz w:val="28"/>
          <w:szCs w:val="28"/>
        </w:rPr>
        <w:t>Standard for Summary Judgment</w:t>
      </w:r>
    </w:p>
    <w:p w14:paraId="0FB8C8E4" w14:textId="77777777" w:rsidR="00F2588F" w:rsidRPr="00BE5D22" w:rsidRDefault="00F2588F" w:rsidP="00F2588F">
      <w:pPr>
        <w:pStyle w:val="ListParagraph"/>
        <w:ind w:left="0"/>
        <w:rPr>
          <w:b/>
          <w:sz w:val="28"/>
          <w:szCs w:val="28"/>
        </w:rPr>
      </w:pPr>
      <w:r>
        <w:rPr>
          <w:b/>
          <w:sz w:val="28"/>
          <w:szCs w:val="28"/>
        </w:rPr>
        <w:tab/>
      </w:r>
      <w:r>
        <w:rPr>
          <w:sz w:val="28"/>
          <w:szCs w:val="28"/>
        </w:rPr>
        <w:t xml:space="preserve">A party motioning for summary judgment believes that it is entitled to a judgment as a matter of law. In order to succeed on a summary judgment motion in Minnesota the moving party must show that there is no genuine issue of material fact between the parties. Minn. R. Civ. P., Rule 56.03. However, in cases where the non-moving party has the burden of proof at trial, as is the case here, the rule regarding summary judgment has been interpreted by the Minnesota Supreme Court to provide that the non-moving party must only provide sufficient evidence to allow reasonable minds to differ on the merits of the case. </w:t>
      </w:r>
      <w:r w:rsidRPr="0011247E">
        <w:rPr>
          <w:i/>
          <w:sz w:val="28"/>
          <w:szCs w:val="28"/>
        </w:rPr>
        <w:t>Schroeder v. St. Louis County</w:t>
      </w:r>
      <w:r>
        <w:rPr>
          <w:sz w:val="28"/>
          <w:szCs w:val="28"/>
        </w:rPr>
        <w:t xml:space="preserve">, 708 N.W.2d 497, 507 (Minn. 2006). </w:t>
      </w:r>
    </w:p>
    <w:p w14:paraId="3EFF7E83" w14:textId="77777777" w:rsidR="00F2588F" w:rsidRDefault="00F2588F" w:rsidP="00F2588F">
      <w:pPr>
        <w:pStyle w:val="ListParagraph"/>
        <w:ind w:left="0"/>
        <w:rPr>
          <w:sz w:val="28"/>
          <w:szCs w:val="28"/>
        </w:rPr>
      </w:pPr>
      <w:r>
        <w:rPr>
          <w:sz w:val="28"/>
          <w:szCs w:val="28"/>
        </w:rPr>
        <w:tab/>
        <w:t xml:space="preserve">Non-moving parties that can show reasonable minds could differ deserve to have their case heard by a jury. Summary judgment is useful for cases where the result is clear based on the facts and applicable law. Where </w:t>
      </w:r>
      <w:r>
        <w:rPr>
          <w:sz w:val="28"/>
          <w:szCs w:val="28"/>
        </w:rPr>
        <w:lastRenderedPageBreak/>
        <w:t xml:space="preserve">both parties have strong arguments or the issue is not clear cut, that is the duty of the jury. In the case at hand, Peterson will show that there is sufficient evidence present to at least allow reasonable minds to differ on whether the Defendant violated the First Amendment rights of Peterson by suspending him for a tattoo depicting Robert E. Lee and the Confederate flag. </w:t>
      </w:r>
    </w:p>
    <w:p w14:paraId="6AA53D75" w14:textId="77777777" w:rsidR="00F2588F" w:rsidRDefault="00F2588F" w:rsidP="00F2588F">
      <w:pPr>
        <w:contextualSpacing/>
        <w:rPr>
          <w:sz w:val="28"/>
          <w:szCs w:val="28"/>
        </w:rPr>
      </w:pPr>
      <w:r>
        <w:rPr>
          <w:sz w:val="28"/>
          <w:szCs w:val="28"/>
        </w:rPr>
        <w:tab/>
        <w:t xml:space="preserve">The school board claims that the holding of </w:t>
      </w:r>
      <w:r>
        <w:rPr>
          <w:i/>
          <w:sz w:val="28"/>
          <w:szCs w:val="28"/>
        </w:rPr>
        <w:t>Schroeder</w:t>
      </w:r>
      <w:r>
        <w:rPr>
          <w:sz w:val="28"/>
          <w:szCs w:val="28"/>
        </w:rPr>
        <w:t xml:space="preserve"> has been ignored and effectively overruled by subsequent Court ruling on the weight and sufficiency of evidence needed to survive a summary judgment motion. </w:t>
      </w:r>
      <w:r>
        <w:rPr>
          <w:i/>
          <w:sz w:val="28"/>
          <w:szCs w:val="28"/>
        </w:rPr>
        <w:t xml:space="preserve">See </w:t>
      </w:r>
      <w:r>
        <w:rPr>
          <w:sz w:val="28"/>
          <w:szCs w:val="28"/>
        </w:rPr>
        <w:t xml:space="preserve">Def.’s Mem. In Supp. Of Summ. J. However, the Supreme Court of Minnesota has since reaffirmed </w:t>
      </w:r>
      <w:r>
        <w:rPr>
          <w:i/>
          <w:sz w:val="28"/>
          <w:szCs w:val="28"/>
        </w:rPr>
        <w:t>Schroeder</w:t>
      </w:r>
      <w:r>
        <w:rPr>
          <w:sz w:val="28"/>
          <w:szCs w:val="28"/>
        </w:rPr>
        <w:t xml:space="preserve"> in 2008 and 2010 decisions. </w:t>
      </w:r>
      <w:r w:rsidRPr="00BE5D22">
        <w:rPr>
          <w:i/>
          <w:sz w:val="28"/>
          <w:szCs w:val="28"/>
        </w:rPr>
        <w:t>Sayer v. Minnesota Dept. of Transp.</w:t>
      </w:r>
      <w:r>
        <w:rPr>
          <w:sz w:val="28"/>
          <w:szCs w:val="28"/>
        </w:rPr>
        <w:t xml:space="preserve">, 790 N.W.2d 151, 162 (Minn. 2010); </w:t>
      </w:r>
      <w:r w:rsidRPr="00BE5D22">
        <w:rPr>
          <w:i/>
          <w:sz w:val="28"/>
          <w:szCs w:val="28"/>
        </w:rPr>
        <w:t>McGlothlin v. Steinmetz</w:t>
      </w:r>
      <w:r>
        <w:rPr>
          <w:sz w:val="28"/>
          <w:szCs w:val="28"/>
        </w:rPr>
        <w:t xml:space="preserve">, 751 N.W.2d 75, 81 (Minn. 2008); </w:t>
      </w:r>
      <w:r w:rsidRPr="00BE5D22">
        <w:rPr>
          <w:i/>
          <w:sz w:val="28"/>
          <w:szCs w:val="28"/>
        </w:rPr>
        <w:t>Frieler v. Carlson Marketing</w:t>
      </w:r>
      <w:r>
        <w:rPr>
          <w:sz w:val="28"/>
          <w:szCs w:val="28"/>
        </w:rPr>
        <w:t>, 751 N.W.2d 558, 564 (Minn. 2008). This continuous change in position by the Court shows that the standard for summary judgment in Minnesota is still unsettled.</w:t>
      </w:r>
    </w:p>
    <w:p w14:paraId="6033917C" w14:textId="77777777" w:rsidR="00E508F1" w:rsidRPr="00F525BB" w:rsidRDefault="00E508F1" w:rsidP="00D51276">
      <w:pPr>
        <w:pStyle w:val="ListParagraph"/>
        <w:jc w:val="center"/>
        <w:rPr>
          <w:b/>
          <w:sz w:val="28"/>
          <w:szCs w:val="28"/>
        </w:rPr>
      </w:pPr>
      <w:r w:rsidRPr="00F525BB">
        <w:rPr>
          <w:b/>
          <w:sz w:val="28"/>
          <w:szCs w:val="28"/>
        </w:rPr>
        <w:t>Argument</w:t>
      </w:r>
    </w:p>
    <w:p w14:paraId="35613609" w14:textId="77777777" w:rsidR="00E508F1" w:rsidRPr="00827D7E" w:rsidRDefault="00E508F1" w:rsidP="00D51276">
      <w:pPr>
        <w:pStyle w:val="ListParagraph"/>
        <w:numPr>
          <w:ilvl w:val="0"/>
          <w:numId w:val="1"/>
        </w:numPr>
        <w:rPr>
          <w:b/>
          <w:sz w:val="28"/>
          <w:szCs w:val="28"/>
        </w:rPr>
      </w:pPr>
      <w:r w:rsidRPr="00827D7E">
        <w:rPr>
          <w:b/>
          <w:sz w:val="28"/>
          <w:szCs w:val="28"/>
        </w:rPr>
        <w:t xml:space="preserve">Defendant’s suspension </w:t>
      </w:r>
      <w:r w:rsidR="00827D7E">
        <w:rPr>
          <w:b/>
          <w:sz w:val="28"/>
          <w:szCs w:val="28"/>
        </w:rPr>
        <w:t xml:space="preserve">of the Plaintiff </w:t>
      </w:r>
      <w:r w:rsidRPr="00827D7E">
        <w:rPr>
          <w:b/>
          <w:sz w:val="28"/>
          <w:szCs w:val="28"/>
        </w:rPr>
        <w:t>was contrary to precedent dealing specifically with the issue of Confederate symbols.</w:t>
      </w:r>
    </w:p>
    <w:p w14:paraId="6D62D800" w14:textId="77777777" w:rsidR="00E508F1" w:rsidRDefault="00E508F1" w:rsidP="00D51276">
      <w:pPr>
        <w:contextualSpacing/>
        <w:rPr>
          <w:sz w:val="28"/>
          <w:szCs w:val="28"/>
        </w:rPr>
      </w:pPr>
      <w:r>
        <w:rPr>
          <w:sz w:val="28"/>
          <w:szCs w:val="28"/>
        </w:rPr>
        <w:lastRenderedPageBreak/>
        <w:tab/>
        <w:t xml:space="preserve">Two cases decided at the United States Court of Appeals circuit have dealt with the issue of Confederate symbols in public schools. </w:t>
      </w:r>
      <w:r>
        <w:rPr>
          <w:i/>
          <w:sz w:val="28"/>
          <w:szCs w:val="28"/>
        </w:rPr>
        <w:t>E.g., B.W.A. v. Farmington R-7 School Dist.</w:t>
      </w:r>
      <w:r>
        <w:rPr>
          <w:sz w:val="28"/>
          <w:szCs w:val="28"/>
        </w:rPr>
        <w:t xml:space="preserve"> 554 F.3d 734 (8</w:t>
      </w:r>
      <w:r w:rsidRPr="00D23C7F">
        <w:rPr>
          <w:sz w:val="28"/>
          <w:szCs w:val="28"/>
        </w:rPr>
        <w:t>th</w:t>
      </w:r>
      <w:r>
        <w:rPr>
          <w:sz w:val="28"/>
          <w:szCs w:val="28"/>
        </w:rPr>
        <w:t xml:space="preserve"> Cir. 2009); </w:t>
      </w:r>
      <w:r>
        <w:rPr>
          <w:i/>
          <w:sz w:val="28"/>
          <w:szCs w:val="28"/>
        </w:rPr>
        <w:t>Barr v. Lafon</w:t>
      </w:r>
      <w:r>
        <w:rPr>
          <w:sz w:val="28"/>
          <w:szCs w:val="28"/>
        </w:rPr>
        <w:t>, 538 F.3d 554 (6</w:t>
      </w:r>
      <w:r w:rsidRPr="00D23C7F">
        <w:rPr>
          <w:sz w:val="28"/>
          <w:szCs w:val="28"/>
        </w:rPr>
        <w:t>th</w:t>
      </w:r>
      <w:r>
        <w:rPr>
          <w:sz w:val="28"/>
          <w:szCs w:val="28"/>
        </w:rPr>
        <w:t xml:space="preserve"> Cir. 2004). Both courts found in favor of the Defendant school district. However, the facts of the cases make them distinguishable from the case at hand and support Peterson’s position that the suspension was wrongful. </w:t>
      </w:r>
    </w:p>
    <w:p w14:paraId="040564F3" w14:textId="77777777" w:rsidR="00E508F1" w:rsidRPr="00827D7E" w:rsidRDefault="00E508F1" w:rsidP="00D51276">
      <w:pPr>
        <w:pStyle w:val="ListParagraph"/>
        <w:numPr>
          <w:ilvl w:val="0"/>
          <w:numId w:val="2"/>
        </w:numPr>
        <w:rPr>
          <w:b/>
          <w:sz w:val="28"/>
          <w:szCs w:val="28"/>
        </w:rPr>
      </w:pPr>
      <w:r w:rsidRPr="00827D7E">
        <w:rPr>
          <w:b/>
          <w:sz w:val="28"/>
          <w:szCs w:val="28"/>
        </w:rPr>
        <w:t>Gopher Prairie had no prior racial incidents from which the Defendant could forecast a substantial disruption because of the Confederate flag.</w:t>
      </w:r>
    </w:p>
    <w:p w14:paraId="5DFE75F3" w14:textId="77777777" w:rsidR="00E508F1" w:rsidRDefault="00E508F1" w:rsidP="00D51276">
      <w:pPr>
        <w:contextualSpacing/>
        <w:rPr>
          <w:sz w:val="28"/>
          <w:szCs w:val="28"/>
        </w:rPr>
      </w:pPr>
      <w:r>
        <w:rPr>
          <w:sz w:val="28"/>
          <w:szCs w:val="28"/>
        </w:rPr>
        <w:tab/>
        <w:t xml:space="preserve">In </w:t>
      </w:r>
      <w:r>
        <w:rPr>
          <w:i/>
          <w:sz w:val="28"/>
          <w:szCs w:val="28"/>
        </w:rPr>
        <w:t>B.W.A.</w:t>
      </w:r>
      <w:r>
        <w:rPr>
          <w:sz w:val="28"/>
          <w:szCs w:val="28"/>
        </w:rPr>
        <w:t xml:space="preserve">, the Court found that a Missouri school district was within its abilities to ban students from wearing Confederate flag because of the forecast of a substantial disruption. </w:t>
      </w:r>
      <w:r w:rsidRPr="002E0297">
        <w:rPr>
          <w:i/>
          <w:sz w:val="28"/>
          <w:szCs w:val="28"/>
        </w:rPr>
        <w:t>B.W.A.</w:t>
      </w:r>
      <w:r>
        <w:rPr>
          <w:i/>
          <w:sz w:val="28"/>
          <w:szCs w:val="28"/>
        </w:rPr>
        <w:t>, 554 F.3d</w:t>
      </w:r>
      <w:r>
        <w:rPr>
          <w:sz w:val="28"/>
          <w:szCs w:val="28"/>
        </w:rPr>
        <w:t xml:space="preserve"> at 739. In the opinion, the Court mostly looked at past racially charged events at the school in order to substantiate the claim that a disruption could occur again. The criteria used looked for incidents that provided substantial evidence of actual or possible incidents involving the Confederate flag. </w:t>
      </w:r>
      <w:r>
        <w:rPr>
          <w:i/>
          <w:sz w:val="28"/>
          <w:szCs w:val="28"/>
        </w:rPr>
        <w:t>See</w:t>
      </w:r>
      <w:r>
        <w:rPr>
          <w:sz w:val="28"/>
          <w:szCs w:val="28"/>
        </w:rPr>
        <w:t xml:space="preserve"> </w:t>
      </w:r>
      <w:r>
        <w:rPr>
          <w:i/>
          <w:sz w:val="28"/>
          <w:szCs w:val="28"/>
        </w:rPr>
        <w:t>i</w:t>
      </w:r>
      <w:r w:rsidRPr="008A5287">
        <w:rPr>
          <w:i/>
          <w:sz w:val="28"/>
          <w:szCs w:val="28"/>
        </w:rPr>
        <w:t>d.</w:t>
      </w:r>
      <w:r>
        <w:rPr>
          <w:sz w:val="28"/>
          <w:szCs w:val="28"/>
        </w:rPr>
        <w:t xml:space="preserve"> at 739. Farmington High School had many racial incidents including a fight with another school, a white student urinating on a black student, and numerous uses of racial slurs. </w:t>
      </w:r>
      <w:r w:rsidRPr="008A5287">
        <w:rPr>
          <w:i/>
          <w:sz w:val="28"/>
          <w:szCs w:val="28"/>
        </w:rPr>
        <w:t>Id.</w:t>
      </w:r>
      <w:r>
        <w:rPr>
          <w:sz w:val="28"/>
          <w:szCs w:val="28"/>
        </w:rPr>
        <w:t xml:space="preserve"> at 739.</w:t>
      </w:r>
      <w:r>
        <w:rPr>
          <w:sz w:val="28"/>
          <w:szCs w:val="28"/>
        </w:rPr>
        <w:tab/>
      </w:r>
    </w:p>
    <w:p w14:paraId="05FFC38C" w14:textId="77777777" w:rsidR="00E508F1" w:rsidRDefault="00E508F1" w:rsidP="00D51276">
      <w:pPr>
        <w:contextualSpacing/>
        <w:rPr>
          <w:sz w:val="28"/>
          <w:szCs w:val="28"/>
        </w:rPr>
      </w:pPr>
      <w:r>
        <w:rPr>
          <w:sz w:val="28"/>
          <w:szCs w:val="28"/>
        </w:rPr>
        <w:lastRenderedPageBreak/>
        <w:tab/>
        <w:t xml:space="preserve">The facts as stated in this case include only two race based incidents in the immediate community. The first occurred after a Lake Wobegon resident hung a banner in Gopher Prairie. Peterson stated that the neighboring community of Lake Wobegon does have many problems with race relations. In fact, three minority students recently transferred from Lake Wobegon to Gopher Prairie because of the incidents there. Pl.’s Dep. 100:3-4, December 1, 2011. The second racial incident occurred after a local company fired some white employees and hired Asian immigrants in their places. While this incident involved residents of Gopher Prairie, the Court in </w:t>
      </w:r>
      <w:r>
        <w:rPr>
          <w:i/>
          <w:sz w:val="28"/>
          <w:szCs w:val="28"/>
        </w:rPr>
        <w:t>B.W.A.</w:t>
      </w:r>
      <w:r>
        <w:rPr>
          <w:sz w:val="28"/>
          <w:szCs w:val="28"/>
        </w:rPr>
        <w:t xml:space="preserve"> used former incidents to show that the display of the Confederate flag could cause a disruption. For the </w:t>
      </w:r>
      <w:r>
        <w:rPr>
          <w:i/>
          <w:sz w:val="28"/>
          <w:szCs w:val="28"/>
        </w:rPr>
        <w:t>B.W.A.</w:t>
      </w:r>
      <w:r>
        <w:rPr>
          <w:sz w:val="28"/>
          <w:szCs w:val="28"/>
        </w:rPr>
        <w:t xml:space="preserve"> Court, the prior incidents must be related to the symbol in question. </w:t>
      </w:r>
      <w:r>
        <w:rPr>
          <w:i/>
          <w:sz w:val="28"/>
          <w:szCs w:val="28"/>
        </w:rPr>
        <w:t>See B.W.A.</w:t>
      </w:r>
      <w:r>
        <w:rPr>
          <w:sz w:val="28"/>
          <w:szCs w:val="28"/>
        </w:rPr>
        <w:t xml:space="preserve"> at 739. The incident at the factory was not in any way related to the display of the Confederate flag. Using the criteria from </w:t>
      </w:r>
      <w:r>
        <w:rPr>
          <w:i/>
          <w:sz w:val="28"/>
          <w:szCs w:val="28"/>
        </w:rPr>
        <w:t>B.W.A</w:t>
      </w:r>
      <w:r>
        <w:rPr>
          <w:sz w:val="28"/>
          <w:szCs w:val="28"/>
        </w:rPr>
        <w:t>, there are no qualifying past racial incidents related to the display of the Confederate flag that can be used to uphold the suspension.</w:t>
      </w:r>
    </w:p>
    <w:p w14:paraId="3FFD8449" w14:textId="77777777" w:rsidR="00546038" w:rsidRPr="00737513" w:rsidRDefault="00546038" w:rsidP="00D51276">
      <w:pPr>
        <w:contextualSpacing/>
        <w:rPr>
          <w:sz w:val="28"/>
          <w:szCs w:val="28"/>
        </w:rPr>
      </w:pPr>
      <w:r>
        <w:rPr>
          <w:sz w:val="28"/>
          <w:szCs w:val="28"/>
        </w:rPr>
        <w:tab/>
        <w:t xml:space="preserve">Similarly, the courts in </w:t>
      </w:r>
      <w:r w:rsidRPr="00546038">
        <w:rPr>
          <w:i/>
          <w:sz w:val="28"/>
          <w:szCs w:val="28"/>
        </w:rPr>
        <w:t>A.M. ex rel. McAllum v. Cash</w:t>
      </w:r>
      <w:r>
        <w:rPr>
          <w:sz w:val="28"/>
          <w:szCs w:val="28"/>
        </w:rPr>
        <w:t xml:space="preserve"> (numerous racial tensions involving the Confederate flag including racial graffiti and a physical confrontation), </w:t>
      </w:r>
      <w:r w:rsidRPr="00546038">
        <w:rPr>
          <w:i/>
          <w:sz w:val="28"/>
          <w:szCs w:val="28"/>
        </w:rPr>
        <w:t>Melton v. Young</w:t>
      </w:r>
      <w:r>
        <w:rPr>
          <w:sz w:val="28"/>
          <w:szCs w:val="28"/>
        </w:rPr>
        <w:t xml:space="preserve"> (rallies involving the Confederate flag and a city-wide curfew due to racial tensions), and </w:t>
      </w:r>
      <w:r w:rsidRPr="00546038">
        <w:rPr>
          <w:i/>
          <w:sz w:val="28"/>
          <w:szCs w:val="28"/>
        </w:rPr>
        <w:t xml:space="preserve">West v. Derby </w:t>
      </w:r>
      <w:r w:rsidRPr="00546038">
        <w:rPr>
          <w:i/>
          <w:sz w:val="28"/>
          <w:szCs w:val="28"/>
        </w:rPr>
        <w:lastRenderedPageBreak/>
        <w:t>Unified School Dist. No. 260</w:t>
      </w:r>
      <w:r>
        <w:rPr>
          <w:sz w:val="28"/>
          <w:szCs w:val="28"/>
        </w:rPr>
        <w:t xml:space="preserve"> (confrontations between races at school and fight between students involving confederate flag) all decided the prohibition of the Confederate flag was warranted after many racial incidents involving the use of the Confederate flag as a symbol for racial inequality. </w:t>
      </w:r>
      <w:r w:rsidR="00737513" w:rsidRPr="00737513">
        <w:rPr>
          <w:i/>
          <w:sz w:val="28"/>
          <w:szCs w:val="28"/>
        </w:rPr>
        <w:t>A.M. ex rel. McAllum v. Cash</w:t>
      </w:r>
      <w:r w:rsidR="00737513">
        <w:rPr>
          <w:sz w:val="28"/>
          <w:szCs w:val="28"/>
        </w:rPr>
        <w:t>, 585 F.3d 214, 223 (5</w:t>
      </w:r>
      <w:r w:rsidR="00737513" w:rsidRPr="00737513">
        <w:rPr>
          <w:sz w:val="28"/>
          <w:szCs w:val="28"/>
        </w:rPr>
        <w:t>th</w:t>
      </w:r>
      <w:r w:rsidR="00737513">
        <w:rPr>
          <w:sz w:val="28"/>
          <w:szCs w:val="28"/>
        </w:rPr>
        <w:t xml:space="preserve"> Cir. 2009); </w:t>
      </w:r>
      <w:r w:rsidR="00737513" w:rsidRPr="00737513">
        <w:rPr>
          <w:i/>
          <w:sz w:val="28"/>
          <w:szCs w:val="28"/>
        </w:rPr>
        <w:t>Melton v. Young</w:t>
      </w:r>
      <w:r w:rsidR="00737513">
        <w:rPr>
          <w:sz w:val="28"/>
          <w:szCs w:val="28"/>
        </w:rPr>
        <w:t>, 465 F.2d 1332, 1333 (6</w:t>
      </w:r>
      <w:r w:rsidR="00737513" w:rsidRPr="00737513">
        <w:rPr>
          <w:sz w:val="28"/>
          <w:szCs w:val="28"/>
        </w:rPr>
        <w:t>th</w:t>
      </w:r>
      <w:r w:rsidR="00737513">
        <w:rPr>
          <w:sz w:val="28"/>
          <w:szCs w:val="28"/>
        </w:rPr>
        <w:t xml:space="preserve"> Cir. 1972); </w:t>
      </w:r>
      <w:r w:rsidR="00737513">
        <w:rPr>
          <w:i/>
          <w:sz w:val="28"/>
          <w:szCs w:val="28"/>
        </w:rPr>
        <w:t>West v. Derby Unified School D</w:t>
      </w:r>
      <w:r w:rsidR="00737513" w:rsidRPr="00737513">
        <w:rPr>
          <w:i/>
          <w:sz w:val="28"/>
          <w:szCs w:val="28"/>
        </w:rPr>
        <w:t>ist. No. 260</w:t>
      </w:r>
      <w:r w:rsidR="00737513">
        <w:rPr>
          <w:sz w:val="28"/>
          <w:szCs w:val="28"/>
        </w:rPr>
        <w:t>, 206 F.3d 1358, 1366 (10</w:t>
      </w:r>
      <w:r w:rsidR="00737513" w:rsidRPr="00737513">
        <w:rPr>
          <w:sz w:val="28"/>
          <w:szCs w:val="28"/>
        </w:rPr>
        <w:t>th</w:t>
      </w:r>
      <w:r w:rsidR="00737513">
        <w:rPr>
          <w:sz w:val="28"/>
          <w:szCs w:val="28"/>
        </w:rPr>
        <w:t xml:space="preserve"> Cir. 2000). The court in </w:t>
      </w:r>
      <w:r w:rsidR="0098645B">
        <w:rPr>
          <w:i/>
          <w:sz w:val="28"/>
          <w:szCs w:val="28"/>
        </w:rPr>
        <w:t>A.M. ex rel. McAllum</w:t>
      </w:r>
      <w:r w:rsidR="00737513">
        <w:rPr>
          <w:sz w:val="28"/>
          <w:szCs w:val="28"/>
        </w:rPr>
        <w:t xml:space="preserve"> even went as far as interpreting the </w:t>
      </w:r>
      <w:r w:rsidR="00737513">
        <w:rPr>
          <w:i/>
          <w:sz w:val="28"/>
          <w:szCs w:val="28"/>
        </w:rPr>
        <w:t>Tinker</w:t>
      </w:r>
      <w:r w:rsidR="00737513">
        <w:rPr>
          <w:sz w:val="28"/>
          <w:szCs w:val="28"/>
        </w:rPr>
        <w:t xml:space="preserve"> doctrine to state that “</w:t>
      </w:r>
      <w:r w:rsidR="0098645B">
        <w:rPr>
          <w:sz w:val="28"/>
          <w:szCs w:val="28"/>
        </w:rPr>
        <w:t xml:space="preserve">[school] </w:t>
      </w:r>
      <w:r w:rsidR="00737513">
        <w:rPr>
          <w:sz w:val="28"/>
          <w:szCs w:val="28"/>
        </w:rPr>
        <w:t xml:space="preserve">officials must base their decisions ‘on fact, not intuition, that the expected disruption would probably result[.]’” </w:t>
      </w:r>
      <w:r w:rsidR="00737513">
        <w:rPr>
          <w:i/>
          <w:sz w:val="28"/>
          <w:szCs w:val="28"/>
        </w:rPr>
        <w:t>A.M. ex rel. Mcallum</w:t>
      </w:r>
      <w:r w:rsidR="00737513">
        <w:rPr>
          <w:sz w:val="28"/>
          <w:szCs w:val="28"/>
        </w:rPr>
        <w:t xml:space="preserve"> at 221 </w:t>
      </w:r>
      <w:r w:rsidR="0098645B">
        <w:rPr>
          <w:sz w:val="28"/>
          <w:szCs w:val="28"/>
        </w:rPr>
        <w:t>(</w:t>
      </w:r>
      <w:r w:rsidR="00737513">
        <w:rPr>
          <w:sz w:val="28"/>
          <w:szCs w:val="28"/>
        </w:rPr>
        <w:t xml:space="preserve">quoting </w:t>
      </w:r>
      <w:r w:rsidR="00737513">
        <w:rPr>
          <w:i/>
          <w:sz w:val="28"/>
          <w:szCs w:val="28"/>
        </w:rPr>
        <w:t>Butts v. Dallas Indep. Sch. Dist.</w:t>
      </w:r>
      <w:r w:rsidR="00737513">
        <w:rPr>
          <w:sz w:val="28"/>
          <w:szCs w:val="28"/>
        </w:rPr>
        <w:t>, 436 F.2d 728,731 (5</w:t>
      </w:r>
      <w:r w:rsidR="00737513" w:rsidRPr="00737513">
        <w:rPr>
          <w:sz w:val="28"/>
          <w:szCs w:val="28"/>
        </w:rPr>
        <w:t>th</w:t>
      </w:r>
      <w:r w:rsidR="00737513">
        <w:rPr>
          <w:sz w:val="28"/>
          <w:szCs w:val="28"/>
        </w:rPr>
        <w:t xml:space="preserve"> Cir. 1972)</w:t>
      </w:r>
      <w:r w:rsidR="0098645B">
        <w:rPr>
          <w:sz w:val="28"/>
          <w:szCs w:val="28"/>
        </w:rPr>
        <w:t>)</w:t>
      </w:r>
      <w:r w:rsidR="00737513">
        <w:rPr>
          <w:sz w:val="28"/>
          <w:szCs w:val="28"/>
        </w:rPr>
        <w:t>.</w:t>
      </w:r>
      <w:r w:rsidR="0098645B">
        <w:rPr>
          <w:sz w:val="28"/>
          <w:szCs w:val="28"/>
        </w:rPr>
        <w:t xml:space="preserve"> The ruling further shows that the school district in this case improperly suspended Peterson because there were no facts that justified the suspension.</w:t>
      </w:r>
    </w:p>
    <w:p w14:paraId="7BC8C7B9" w14:textId="77777777" w:rsidR="00E508F1" w:rsidRPr="00827D7E" w:rsidRDefault="00E508F1" w:rsidP="00D51276">
      <w:pPr>
        <w:pStyle w:val="ListParagraph"/>
        <w:numPr>
          <w:ilvl w:val="0"/>
          <w:numId w:val="2"/>
        </w:numPr>
        <w:rPr>
          <w:b/>
          <w:sz w:val="28"/>
          <w:szCs w:val="28"/>
        </w:rPr>
      </w:pPr>
      <w:r w:rsidRPr="00827D7E">
        <w:rPr>
          <w:b/>
          <w:sz w:val="28"/>
          <w:szCs w:val="28"/>
        </w:rPr>
        <w:t>Gopher Prairie High School experienced minimal secondary disruptions after the suspension of the Plaintiff.</w:t>
      </w:r>
    </w:p>
    <w:p w14:paraId="60A2F0ED" w14:textId="77777777" w:rsidR="00E508F1" w:rsidRDefault="00E508F1" w:rsidP="00D51276">
      <w:pPr>
        <w:contextualSpacing/>
        <w:rPr>
          <w:sz w:val="28"/>
          <w:szCs w:val="28"/>
        </w:rPr>
      </w:pPr>
      <w:r>
        <w:rPr>
          <w:sz w:val="28"/>
          <w:szCs w:val="28"/>
        </w:rPr>
        <w:tab/>
        <w:t xml:space="preserve">In the </w:t>
      </w:r>
      <w:r>
        <w:rPr>
          <w:i/>
          <w:sz w:val="28"/>
          <w:szCs w:val="28"/>
        </w:rPr>
        <w:t>Barr</w:t>
      </w:r>
      <w:r>
        <w:rPr>
          <w:sz w:val="28"/>
          <w:szCs w:val="28"/>
        </w:rPr>
        <w:t xml:space="preserve">, the Court looked at racially motivated events that were described as secondary disruptions stemming from the original race based incidents. The criteria used to determine what qualified as a secondary disruption was any disruptions in the normal school day directly related to </w:t>
      </w:r>
      <w:r>
        <w:rPr>
          <w:sz w:val="28"/>
          <w:szCs w:val="28"/>
        </w:rPr>
        <w:lastRenderedPageBreak/>
        <w:t xml:space="preserve">the original incident. The Court considered effects related to the incident that resulted including the investigation of the original incident, the creation of a “hit list” by another student, the manifestation of parents’ increasing concerns, and the increase in African-American students missing school after the incident. </w:t>
      </w:r>
      <w:r w:rsidRPr="00A56589">
        <w:rPr>
          <w:i/>
          <w:sz w:val="28"/>
          <w:szCs w:val="28"/>
        </w:rPr>
        <w:t>Barr</w:t>
      </w:r>
      <w:r>
        <w:rPr>
          <w:sz w:val="28"/>
          <w:szCs w:val="28"/>
        </w:rPr>
        <w:t xml:space="preserve"> at 566. These secondary disruptions related to the incident were enough for the Court to find that the ban on Confederate flag images in </w:t>
      </w:r>
      <w:r>
        <w:rPr>
          <w:i/>
          <w:sz w:val="28"/>
          <w:szCs w:val="28"/>
        </w:rPr>
        <w:t>Barr</w:t>
      </w:r>
      <w:r>
        <w:rPr>
          <w:sz w:val="28"/>
          <w:szCs w:val="28"/>
        </w:rPr>
        <w:t xml:space="preserve"> was warranted. </w:t>
      </w:r>
      <w:r w:rsidRPr="00A56589">
        <w:rPr>
          <w:i/>
          <w:sz w:val="28"/>
          <w:szCs w:val="28"/>
        </w:rPr>
        <w:t>Id.</w:t>
      </w:r>
      <w:r>
        <w:rPr>
          <w:sz w:val="28"/>
          <w:szCs w:val="28"/>
        </w:rPr>
        <w:t xml:space="preserve"> at 566. </w:t>
      </w:r>
    </w:p>
    <w:p w14:paraId="6601A384" w14:textId="77777777" w:rsidR="00E508F1" w:rsidRDefault="00E508F1" w:rsidP="00D51276">
      <w:pPr>
        <w:contextualSpacing/>
        <w:rPr>
          <w:sz w:val="28"/>
          <w:szCs w:val="28"/>
        </w:rPr>
      </w:pPr>
      <w:r>
        <w:rPr>
          <w:sz w:val="28"/>
          <w:szCs w:val="28"/>
        </w:rPr>
        <w:tab/>
        <w:t>In the case before this Court, the only secondary disruption caused by Peterson’s tattoo was the investigation and eventual suspension of Peterson by the Defendant. Peterson was asked if his tattoo had caused any kind of disruption or problems at the school. His response was “aside from my suspension and discussion of students’ First</w:t>
      </w:r>
      <w:r w:rsidR="00AE0C3C">
        <w:rPr>
          <w:sz w:val="28"/>
          <w:szCs w:val="28"/>
        </w:rPr>
        <w:t xml:space="preserve"> Amendment rights, no.” Pl.’s</w:t>
      </w:r>
      <w:r>
        <w:rPr>
          <w:sz w:val="28"/>
          <w:szCs w:val="28"/>
        </w:rPr>
        <w:t xml:space="preserve"> Dep. 81:19-20. Peterson also stated that he had not heard from any student who was upset about his tattoo and in fact many of the student population, including some racial minorities, were supportive of Peterson when the Defendant first began its investigation of the matter. In fact, the only people who have stated an objection to Peterson’s tattoo were the teacher who reported him and the principal who suspended him. This view is substantiated by the Defendant’s Responses to Plaintiff’s Rule 36 Requests for Information where the Defendant admits that besides the teacher who </w:t>
      </w:r>
      <w:r>
        <w:rPr>
          <w:sz w:val="28"/>
          <w:szCs w:val="28"/>
        </w:rPr>
        <w:lastRenderedPageBreak/>
        <w:t xml:space="preserve">reported the tattoo and the principal, no other teacher has filed a formal or informal complaint about Peterson’s tattoo. Compared to what the </w:t>
      </w:r>
      <w:r>
        <w:rPr>
          <w:i/>
          <w:sz w:val="28"/>
          <w:szCs w:val="28"/>
        </w:rPr>
        <w:t>Barr</w:t>
      </w:r>
      <w:r>
        <w:rPr>
          <w:sz w:val="28"/>
          <w:szCs w:val="28"/>
        </w:rPr>
        <w:t xml:space="preserve"> Court labeled as secondary disruptions, Gopher Prairie remained a very focused and undisturbed learning environment. The only secondary disruption at the school was caused by the Defendant’s overreaction to Peterson’s tattoo. Overall, the school was not harmed by a secondary disruption and therefore, the Defendant cannot claim this as the rationale behind the suspension of Peterson.</w:t>
      </w:r>
    </w:p>
    <w:p w14:paraId="67EADC9D" w14:textId="77777777" w:rsidR="00E508F1" w:rsidRPr="00827D7E" w:rsidRDefault="00E508F1" w:rsidP="00D51276">
      <w:pPr>
        <w:pStyle w:val="ListParagraph"/>
        <w:numPr>
          <w:ilvl w:val="0"/>
          <w:numId w:val="1"/>
        </w:numPr>
        <w:rPr>
          <w:b/>
          <w:sz w:val="28"/>
          <w:szCs w:val="28"/>
        </w:rPr>
      </w:pPr>
      <w:r w:rsidRPr="00827D7E">
        <w:rPr>
          <w:b/>
          <w:sz w:val="28"/>
          <w:szCs w:val="28"/>
        </w:rPr>
        <w:t>Defendant could not reasonably believe that a substantial disruption would occur because of the Plaintiff’s tattoo.</w:t>
      </w:r>
    </w:p>
    <w:p w14:paraId="381E4ED3" w14:textId="77777777" w:rsidR="00E508F1" w:rsidRPr="00827D7E" w:rsidRDefault="00E508F1" w:rsidP="00D51276">
      <w:pPr>
        <w:pStyle w:val="ListParagraph"/>
        <w:numPr>
          <w:ilvl w:val="1"/>
          <w:numId w:val="1"/>
        </w:numPr>
        <w:rPr>
          <w:b/>
          <w:sz w:val="28"/>
          <w:szCs w:val="28"/>
        </w:rPr>
      </w:pPr>
      <w:r w:rsidRPr="00827D7E">
        <w:rPr>
          <w:b/>
          <w:sz w:val="28"/>
          <w:szCs w:val="28"/>
        </w:rPr>
        <w:t>Defendant cannot show that tattoo materially and substantially interfered with appropriate discipline at the school.</w:t>
      </w:r>
    </w:p>
    <w:p w14:paraId="7DC2BBAE" w14:textId="77777777" w:rsidR="00E508F1" w:rsidRDefault="00E508F1" w:rsidP="00D51276">
      <w:pPr>
        <w:contextualSpacing/>
        <w:rPr>
          <w:sz w:val="28"/>
          <w:szCs w:val="28"/>
        </w:rPr>
      </w:pPr>
      <w:r>
        <w:rPr>
          <w:sz w:val="28"/>
          <w:szCs w:val="28"/>
        </w:rPr>
        <w:tab/>
        <w:t xml:space="preserve">In the broader scope of First Amendment rights, Peterson will show that at least reasonable minds will differ about if the school reasonably believed that a substantial disruption would occur. The C.J.S. has extracted one avenue for showing that a Defendant school is within its abilities to suspend a student. The rule reads that “speech or expression deemed unacceptable for school must be shown to materially and substantially interfere with appropriate discipline.” 78A C.J.S. </w:t>
      </w:r>
      <w:r w:rsidRPr="00B820B2">
        <w:rPr>
          <w:i/>
          <w:sz w:val="28"/>
          <w:szCs w:val="28"/>
        </w:rPr>
        <w:t>Schools and School Districts</w:t>
      </w:r>
      <w:r>
        <w:rPr>
          <w:sz w:val="28"/>
          <w:szCs w:val="28"/>
        </w:rPr>
        <w:t xml:space="preserve"> § 1083 (2011). The Supreme Court of the United States first </w:t>
      </w:r>
      <w:r>
        <w:rPr>
          <w:sz w:val="28"/>
          <w:szCs w:val="28"/>
        </w:rPr>
        <w:lastRenderedPageBreak/>
        <w:t xml:space="preserve">created this test when deciding the case of </w:t>
      </w:r>
      <w:r>
        <w:rPr>
          <w:i/>
          <w:sz w:val="28"/>
          <w:szCs w:val="28"/>
        </w:rPr>
        <w:t>Tinker v. Des Moines Independent Community School Dist.</w:t>
      </w:r>
      <w:r>
        <w:rPr>
          <w:sz w:val="28"/>
          <w:szCs w:val="28"/>
        </w:rPr>
        <w:t xml:space="preserve"> Similarly to the Court in </w:t>
      </w:r>
      <w:r>
        <w:rPr>
          <w:i/>
          <w:sz w:val="28"/>
          <w:szCs w:val="28"/>
        </w:rPr>
        <w:t>B.W.A.</w:t>
      </w:r>
      <w:r>
        <w:rPr>
          <w:sz w:val="28"/>
          <w:szCs w:val="28"/>
        </w:rPr>
        <w:t xml:space="preserve">, the </w:t>
      </w:r>
      <w:r w:rsidRPr="00B2525C">
        <w:rPr>
          <w:i/>
          <w:sz w:val="28"/>
          <w:szCs w:val="28"/>
        </w:rPr>
        <w:t>Tinker</w:t>
      </w:r>
      <w:r>
        <w:rPr>
          <w:sz w:val="28"/>
          <w:szCs w:val="28"/>
        </w:rPr>
        <w:t xml:space="preserve"> Court used evidence of prior disruptions of discipline and any that occurred at the time of the incident in question as a criterion for determining if a material and substantive disruption was foreseeable. </w:t>
      </w:r>
      <w:r>
        <w:rPr>
          <w:i/>
          <w:sz w:val="28"/>
          <w:szCs w:val="28"/>
        </w:rPr>
        <w:t>See Tinker v. Des Moines Independent School Dist.</w:t>
      </w:r>
      <w:r>
        <w:rPr>
          <w:sz w:val="28"/>
          <w:szCs w:val="28"/>
        </w:rPr>
        <w:t xml:space="preserve">, 393 U.S. 503 at 509 (1969). </w:t>
      </w:r>
    </w:p>
    <w:p w14:paraId="32A709E8" w14:textId="77777777" w:rsidR="00E508F1" w:rsidRPr="004E2B5E" w:rsidRDefault="00E508F1" w:rsidP="00D51276">
      <w:pPr>
        <w:contextualSpacing/>
        <w:rPr>
          <w:sz w:val="28"/>
          <w:szCs w:val="28"/>
        </w:rPr>
      </w:pPr>
      <w:r>
        <w:rPr>
          <w:sz w:val="28"/>
          <w:szCs w:val="28"/>
        </w:rPr>
        <w:tab/>
        <w:t xml:space="preserve">From the facts submitted to the Court, there is no evidence that any breaches in discipline occurred before or around the time of Peterson’s suspension related to the display of the Confederate flag on his arm. In fact, the principal of Gopher Prairie stated herself in a letter delivered to Peterson detailing the reasons for the suspension that “although Paul claimed that no one he spoke to was offended and that there have been no documented classroom disruptions [.]” Pl.’s Ex. A. This statement is corroborated in the Defendant’s Responses to Plaintiff’s Rule 36 Requests for Admission where Defendant admits that there have been no racially related incidents at the school and that no student has been disciplined for any race related incidents at the school in relation to Peterson’s tattoo. Many students who either did not understand why Peterson got the tattoo or wanted to know more about it have approached him and asked him about the tattoo. Peterson stated in his deposition that after speaking with those students and explaining his familial </w:t>
      </w:r>
      <w:r>
        <w:rPr>
          <w:sz w:val="28"/>
          <w:szCs w:val="28"/>
        </w:rPr>
        <w:lastRenderedPageBreak/>
        <w:t>connection to Robert E. Lee there has been no escalated tension as a result, but instead more understanding of Peterson’s true intentions. Ralph Johnson and Brian Chen were among these students who approached Peterson and, after learning his true reasons for the tattoo, understood and were supportive of Peterson. Pl.’s Dep. 79:13-80:2, December 1, 2011. Judging from the evidence presented in this case, there is no proof that a breach of appropriate discipline at the school was the reasoning behind the suspension of the student.</w:t>
      </w:r>
      <w:r>
        <w:rPr>
          <w:sz w:val="28"/>
          <w:szCs w:val="28"/>
        </w:rPr>
        <w:tab/>
      </w:r>
    </w:p>
    <w:p w14:paraId="4D33E152" w14:textId="77777777" w:rsidR="00E508F1" w:rsidRPr="00827D7E" w:rsidRDefault="00E508F1" w:rsidP="00D51276">
      <w:pPr>
        <w:pStyle w:val="ListParagraph"/>
        <w:numPr>
          <w:ilvl w:val="1"/>
          <w:numId w:val="1"/>
        </w:numPr>
        <w:rPr>
          <w:b/>
          <w:sz w:val="28"/>
          <w:szCs w:val="28"/>
        </w:rPr>
      </w:pPr>
      <w:r w:rsidRPr="00827D7E">
        <w:rPr>
          <w:b/>
          <w:sz w:val="28"/>
          <w:szCs w:val="28"/>
        </w:rPr>
        <w:t>Defendant cannot show that the prohibition of Plaintiff’s speech was justified by more than a desire to avoid the unpleasantness that accompanied the Confederate flag.</w:t>
      </w:r>
    </w:p>
    <w:p w14:paraId="5A57F109" w14:textId="77777777" w:rsidR="00E508F1" w:rsidRDefault="00E508F1" w:rsidP="00D51276">
      <w:pPr>
        <w:contextualSpacing/>
        <w:rPr>
          <w:sz w:val="28"/>
          <w:szCs w:val="28"/>
        </w:rPr>
      </w:pPr>
      <w:r>
        <w:rPr>
          <w:sz w:val="28"/>
          <w:szCs w:val="28"/>
        </w:rPr>
        <w:tab/>
        <w:t xml:space="preserve">Schools have a powerful responsibility to regulate speech in schools, hate speech or not, but only if it reaches the level of reasonably causing a material and substantial disruption. Otherwise schools could censor students for expressing non-mainstream views and contributing to the marketplace of ideas, which the First Amendment aims to protect. </w:t>
      </w:r>
      <w:r>
        <w:rPr>
          <w:i/>
          <w:sz w:val="28"/>
          <w:szCs w:val="28"/>
        </w:rPr>
        <w:t>See Tinker</w:t>
      </w:r>
      <w:r>
        <w:rPr>
          <w:sz w:val="28"/>
          <w:szCs w:val="28"/>
        </w:rPr>
        <w:t xml:space="preserve"> at 509. The </w:t>
      </w:r>
      <w:r>
        <w:rPr>
          <w:i/>
          <w:sz w:val="28"/>
          <w:szCs w:val="28"/>
        </w:rPr>
        <w:t>Tinker</w:t>
      </w:r>
      <w:r>
        <w:rPr>
          <w:sz w:val="28"/>
          <w:szCs w:val="28"/>
        </w:rPr>
        <w:t xml:space="preserve"> Court recognized that the school suspended the students for wearing the armbands solely because the Vietnam War was a large controversy and the school wanted to avoid even a discussion of the merits of the war on school grounds. </w:t>
      </w:r>
      <w:r>
        <w:rPr>
          <w:i/>
          <w:sz w:val="28"/>
          <w:szCs w:val="28"/>
        </w:rPr>
        <w:t>Id.</w:t>
      </w:r>
      <w:r>
        <w:rPr>
          <w:sz w:val="28"/>
          <w:szCs w:val="28"/>
        </w:rPr>
        <w:t xml:space="preserve"> at 509. This type of censorship was found to be </w:t>
      </w:r>
      <w:r>
        <w:rPr>
          <w:sz w:val="28"/>
          <w:szCs w:val="28"/>
        </w:rPr>
        <w:lastRenderedPageBreak/>
        <w:t xml:space="preserve">unacceptable because of the value of minority viewpoints to the democratic system. </w:t>
      </w:r>
    </w:p>
    <w:p w14:paraId="7AC6D5D6" w14:textId="77777777" w:rsidR="00E508F1" w:rsidRDefault="00E508F1" w:rsidP="00D51276">
      <w:pPr>
        <w:contextualSpacing/>
        <w:rPr>
          <w:sz w:val="28"/>
          <w:szCs w:val="28"/>
        </w:rPr>
      </w:pPr>
      <w:r>
        <w:rPr>
          <w:sz w:val="28"/>
          <w:szCs w:val="28"/>
        </w:rPr>
        <w:tab/>
        <w:t xml:space="preserve">A school’s mission statement can be used by the courts to help determine if the speech was truly a disruption or merely an unpopular viewpoint. Justice Marshall’s dissent in </w:t>
      </w:r>
      <w:r w:rsidRPr="00B823A3">
        <w:rPr>
          <w:i/>
          <w:sz w:val="28"/>
          <w:szCs w:val="28"/>
        </w:rPr>
        <w:t>Bethel School Dist. No. 403 v. Fraser</w:t>
      </w:r>
      <w:r>
        <w:rPr>
          <w:sz w:val="28"/>
          <w:szCs w:val="28"/>
        </w:rPr>
        <w:t xml:space="preserve"> states that the school has the ability to determine what violates their educational mission on most occasions. </w:t>
      </w:r>
      <w:r w:rsidRPr="00B823A3">
        <w:rPr>
          <w:i/>
          <w:sz w:val="28"/>
          <w:szCs w:val="28"/>
        </w:rPr>
        <w:t>Bethel School Dist. No. 403 v. Fraser</w:t>
      </w:r>
      <w:r>
        <w:rPr>
          <w:sz w:val="28"/>
          <w:szCs w:val="28"/>
        </w:rPr>
        <w:t xml:space="preserve">, 478 U.S. 675 at 690 (1986) (Marshall, J., dissenting). However, he continues by stating that “where speech is involved we may not unquestioningly accept a teacher’s or an administrator’s assertion that certain pure speech interfered with education.” </w:t>
      </w:r>
      <w:r>
        <w:rPr>
          <w:i/>
          <w:sz w:val="28"/>
          <w:szCs w:val="28"/>
        </w:rPr>
        <w:t>Id.</w:t>
      </w:r>
      <w:r>
        <w:rPr>
          <w:sz w:val="28"/>
          <w:szCs w:val="28"/>
        </w:rPr>
        <w:t xml:space="preserve"> at 690. Justice Marshall’s analysis of the </w:t>
      </w:r>
      <w:r>
        <w:rPr>
          <w:i/>
          <w:sz w:val="28"/>
          <w:szCs w:val="28"/>
        </w:rPr>
        <w:t>Tinker</w:t>
      </w:r>
      <w:r>
        <w:rPr>
          <w:sz w:val="28"/>
          <w:szCs w:val="28"/>
        </w:rPr>
        <w:t xml:space="preserve"> doctrine was more in line with the original decision in </w:t>
      </w:r>
      <w:r>
        <w:rPr>
          <w:i/>
          <w:sz w:val="28"/>
          <w:szCs w:val="28"/>
        </w:rPr>
        <w:t>Tinker</w:t>
      </w:r>
      <w:r>
        <w:rPr>
          <w:sz w:val="28"/>
          <w:szCs w:val="28"/>
        </w:rPr>
        <w:t xml:space="preserve"> than the majority opinion. Even though the assembly in </w:t>
      </w:r>
      <w:r>
        <w:rPr>
          <w:i/>
          <w:sz w:val="28"/>
          <w:szCs w:val="28"/>
        </w:rPr>
        <w:t>Fraser</w:t>
      </w:r>
      <w:r>
        <w:rPr>
          <w:sz w:val="28"/>
          <w:szCs w:val="28"/>
        </w:rPr>
        <w:t xml:space="preserve"> became raucous during the Plaintiff’s lewd speech, the District Court, the Court of Appeals, and Justices Marshall and Stevens did not believe that level of behavior rose to the material and substantially disruptive level. Many of the disturbances were secondary and did not substantially diminish the educational level of the school following the speech.</w:t>
      </w:r>
    </w:p>
    <w:p w14:paraId="39065E57" w14:textId="77777777" w:rsidR="00E508F1" w:rsidRDefault="00E508F1" w:rsidP="00D51276">
      <w:pPr>
        <w:contextualSpacing/>
        <w:rPr>
          <w:sz w:val="28"/>
          <w:szCs w:val="28"/>
        </w:rPr>
      </w:pPr>
      <w:r>
        <w:rPr>
          <w:sz w:val="28"/>
          <w:szCs w:val="28"/>
        </w:rPr>
        <w:tab/>
        <w:t xml:space="preserve">In the Plaintiff’s Exhibit A, the principal of the school states that “we (the school) are trying to instill cultural understanding and the importance of </w:t>
      </w:r>
      <w:r>
        <w:rPr>
          <w:sz w:val="28"/>
          <w:szCs w:val="28"/>
        </w:rPr>
        <w:lastRenderedPageBreak/>
        <w:t xml:space="preserve">equality in school, the community, and society in general.” She even states that Peterson’s tattoo was “culturally insensitive” without any knowledge of Peterson’s true intent behind the tattoo. </w:t>
      </w:r>
      <w:r>
        <w:rPr>
          <w:i/>
          <w:sz w:val="28"/>
          <w:szCs w:val="28"/>
        </w:rPr>
        <w:t>Id.</w:t>
      </w:r>
      <w:r>
        <w:rPr>
          <w:sz w:val="28"/>
          <w:szCs w:val="28"/>
        </w:rPr>
        <w:t xml:space="preserve"> Peterson stated in his deposition three reasons for getting his tattoo. First, he is a direct descendent of Robert E. Lee. Second, Robert E. Lee was </w:t>
      </w:r>
      <w:r w:rsidRPr="00F667EF">
        <w:rPr>
          <w:sz w:val="28"/>
          <w:szCs w:val="28"/>
        </w:rPr>
        <w:t>against</w:t>
      </w:r>
      <w:r>
        <w:rPr>
          <w:sz w:val="28"/>
          <w:szCs w:val="28"/>
        </w:rPr>
        <w:t xml:space="preserve"> slavery and only fought for the South because Virginia seceded from the Union. Finally, he wanted to represent his Southern heritage based on Robert E. Lee. Defendant cannot point to any evidence that Peterson’s tattoo was racially motivated because his true intent was to bring his family’s history with him to school in order to help other students understand Southern culture, not racism. At the very least, Peterson’s tattoo does not impede the understanding of other cultures or degrade the equality of all. Defendant used the mission as a pretense to censor speech that it deems unpopular because of the negative connotations normally associated with the Confederate flag. Relying then on </w:t>
      </w:r>
      <w:r w:rsidRPr="00F667EF">
        <w:rPr>
          <w:i/>
          <w:sz w:val="28"/>
          <w:szCs w:val="28"/>
        </w:rPr>
        <w:t>Tinker</w:t>
      </w:r>
      <w:r>
        <w:rPr>
          <w:sz w:val="28"/>
          <w:szCs w:val="28"/>
        </w:rPr>
        <w:t>, the school cannot force Peterson to cover up his tattoo because the negative connotations represent an unpopular viewpoint. Peterson has every right to express unpopular viewpoints until they foreseeably could bring about a material and substantial disruption, which in this case was not likely.</w:t>
      </w:r>
    </w:p>
    <w:p w14:paraId="445E0327" w14:textId="77777777" w:rsidR="00D50936" w:rsidRPr="00864285" w:rsidRDefault="00D50936" w:rsidP="00D51276">
      <w:pPr>
        <w:contextualSpacing/>
        <w:rPr>
          <w:sz w:val="28"/>
          <w:szCs w:val="28"/>
        </w:rPr>
      </w:pPr>
      <w:r>
        <w:rPr>
          <w:sz w:val="28"/>
          <w:szCs w:val="28"/>
        </w:rPr>
        <w:tab/>
        <w:t xml:space="preserve">The school district cites </w:t>
      </w:r>
      <w:r w:rsidR="0066015D" w:rsidRPr="00864285">
        <w:rPr>
          <w:i/>
          <w:sz w:val="28"/>
          <w:szCs w:val="28"/>
        </w:rPr>
        <w:t>Morse v. Frederick</w:t>
      </w:r>
      <w:r w:rsidR="00864285">
        <w:rPr>
          <w:sz w:val="28"/>
          <w:szCs w:val="28"/>
        </w:rPr>
        <w:t xml:space="preserve"> as an example</w:t>
      </w:r>
      <w:r w:rsidR="0066015D">
        <w:rPr>
          <w:sz w:val="28"/>
          <w:szCs w:val="28"/>
        </w:rPr>
        <w:t xml:space="preserve"> of the wide latitude the Court has given school districts in curtailing free speech of </w:t>
      </w:r>
      <w:r w:rsidR="0066015D">
        <w:rPr>
          <w:sz w:val="28"/>
          <w:szCs w:val="28"/>
        </w:rPr>
        <w:lastRenderedPageBreak/>
        <w:t xml:space="preserve">students. </w:t>
      </w:r>
      <w:r w:rsidR="00864285">
        <w:rPr>
          <w:sz w:val="28"/>
          <w:szCs w:val="28"/>
        </w:rPr>
        <w:t xml:space="preserve">However, </w:t>
      </w:r>
      <w:r w:rsidR="00864285">
        <w:rPr>
          <w:i/>
          <w:sz w:val="28"/>
          <w:szCs w:val="28"/>
        </w:rPr>
        <w:t>Morse</w:t>
      </w:r>
      <w:r w:rsidR="00864285">
        <w:rPr>
          <w:sz w:val="28"/>
          <w:szCs w:val="28"/>
        </w:rPr>
        <w:t xml:space="preserve"> is not applicable to this case because it involved student speech that encouraged illegal drug use on school grounds. </w:t>
      </w:r>
      <w:r w:rsidR="00864285">
        <w:rPr>
          <w:i/>
          <w:sz w:val="28"/>
          <w:szCs w:val="28"/>
        </w:rPr>
        <w:t>Morse v. Frederick</w:t>
      </w:r>
      <w:r w:rsidR="00864285">
        <w:rPr>
          <w:sz w:val="28"/>
          <w:szCs w:val="28"/>
        </w:rPr>
        <w:t>, 551 U.S. 393, 397 (2007). Peterson’s speech was not advocating any illegal activity and was eligible for protection by the First Amendment.</w:t>
      </w:r>
    </w:p>
    <w:p w14:paraId="65ABB6F3" w14:textId="77777777" w:rsidR="00827D7E" w:rsidRDefault="00827D7E" w:rsidP="00827D7E">
      <w:pPr>
        <w:pStyle w:val="ListParagraph"/>
        <w:numPr>
          <w:ilvl w:val="1"/>
          <w:numId w:val="1"/>
        </w:numPr>
        <w:rPr>
          <w:b/>
          <w:sz w:val="28"/>
          <w:szCs w:val="28"/>
        </w:rPr>
      </w:pPr>
      <w:r w:rsidRPr="00827D7E">
        <w:rPr>
          <w:b/>
          <w:sz w:val="28"/>
          <w:szCs w:val="28"/>
        </w:rPr>
        <w:t>Defendant cannot show that the Plaintiff’s tattoo was not protected by the First Amendment right to free speech.</w:t>
      </w:r>
    </w:p>
    <w:p w14:paraId="07966292" w14:textId="77777777" w:rsidR="00827D7E" w:rsidRDefault="00827D7E" w:rsidP="00827D7E">
      <w:pPr>
        <w:rPr>
          <w:sz w:val="28"/>
          <w:szCs w:val="28"/>
        </w:rPr>
      </w:pPr>
      <w:r>
        <w:rPr>
          <w:sz w:val="28"/>
          <w:szCs w:val="28"/>
        </w:rPr>
        <w:tab/>
        <w:t xml:space="preserve">In the </w:t>
      </w:r>
      <w:r>
        <w:rPr>
          <w:i/>
          <w:sz w:val="28"/>
          <w:szCs w:val="28"/>
        </w:rPr>
        <w:t>Texas v. Johnson</w:t>
      </w:r>
      <w:r>
        <w:rPr>
          <w:sz w:val="28"/>
          <w:szCs w:val="28"/>
        </w:rPr>
        <w:t xml:space="preserve"> decision, the Court stated that speech was protected by the First Amendment if it was done with “intent to convey a particularized message was present and [whether] the likelihood was great that the message would be understood by those who viewed it.”</w:t>
      </w:r>
      <w:r w:rsidR="0088220C">
        <w:rPr>
          <w:sz w:val="28"/>
          <w:szCs w:val="28"/>
        </w:rPr>
        <w:t xml:space="preserve"> </w:t>
      </w:r>
      <w:r w:rsidR="0088220C">
        <w:rPr>
          <w:i/>
          <w:sz w:val="28"/>
          <w:szCs w:val="28"/>
        </w:rPr>
        <w:t>Texas v. Johnson</w:t>
      </w:r>
      <w:r w:rsidR="0088220C">
        <w:rPr>
          <w:sz w:val="28"/>
          <w:szCs w:val="28"/>
        </w:rPr>
        <w:t xml:space="preserve">, 491 U.S. 397, 404 (1989). </w:t>
      </w:r>
      <w:r w:rsidR="002F6E61">
        <w:rPr>
          <w:sz w:val="28"/>
          <w:szCs w:val="28"/>
        </w:rPr>
        <w:t xml:space="preserve">Later, in </w:t>
      </w:r>
      <w:r w:rsidR="002F6E61">
        <w:rPr>
          <w:i/>
          <w:sz w:val="28"/>
          <w:szCs w:val="28"/>
        </w:rPr>
        <w:t>Stephenson v. Davenport Community School Dist.</w:t>
      </w:r>
      <w:r w:rsidR="002F6E61">
        <w:rPr>
          <w:sz w:val="28"/>
          <w:szCs w:val="28"/>
        </w:rPr>
        <w:t>,</w:t>
      </w:r>
      <w:r w:rsidR="002F6E61">
        <w:rPr>
          <w:i/>
          <w:sz w:val="28"/>
          <w:szCs w:val="28"/>
        </w:rPr>
        <w:t xml:space="preserve"> </w:t>
      </w:r>
      <w:r w:rsidR="002F6E61">
        <w:rPr>
          <w:sz w:val="28"/>
          <w:szCs w:val="28"/>
        </w:rPr>
        <w:t xml:space="preserve">the court declined to extend the standard to a student’s tattoo of a cross because it determined the tattoo was neither a political message nor a religious symbol. Instead, the court stated the tattoo was self-expression and not protected by the First Amendment. </w:t>
      </w:r>
      <w:r w:rsidR="002F6E61" w:rsidRPr="002F6E61">
        <w:rPr>
          <w:i/>
          <w:sz w:val="28"/>
          <w:szCs w:val="28"/>
        </w:rPr>
        <w:t>Stephenson v. Davenport Community School Dist.</w:t>
      </w:r>
      <w:r w:rsidR="002F6E61">
        <w:rPr>
          <w:sz w:val="28"/>
          <w:szCs w:val="28"/>
        </w:rPr>
        <w:t>, 110 F.3d 1303, 1307 n. 4 (8</w:t>
      </w:r>
      <w:r w:rsidR="002F6E61" w:rsidRPr="002F6E61">
        <w:rPr>
          <w:sz w:val="28"/>
          <w:szCs w:val="28"/>
        </w:rPr>
        <w:t>th</w:t>
      </w:r>
      <w:r w:rsidR="002F6E61">
        <w:rPr>
          <w:sz w:val="28"/>
          <w:szCs w:val="28"/>
        </w:rPr>
        <w:t xml:space="preserve"> Cir. 1997). These</w:t>
      </w:r>
      <w:r w:rsidR="0088220C">
        <w:rPr>
          <w:sz w:val="28"/>
          <w:szCs w:val="28"/>
        </w:rPr>
        <w:t xml:space="preserve"> standard</w:t>
      </w:r>
      <w:r w:rsidR="002F6E61">
        <w:rPr>
          <w:sz w:val="28"/>
          <w:szCs w:val="28"/>
        </w:rPr>
        <w:t>s were</w:t>
      </w:r>
      <w:r w:rsidR="0088220C">
        <w:rPr>
          <w:sz w:val="28"/>
          <w:szCs w:val="28"/>
        </w:rPr>
        <w:t xml:space="preserve"> later applied in </w:t>
      </w:r>
      <w:r w:rsidR="0088220C">
        <w:rPr>
          <w:i/>
          <w:sz w:val="28"/>
          <w:szCs w:val="28"/>
        </w:rPr>
        <w:t>Castorina ex rel. Rewt v. Madison County School Bd.</w:t>
      </w:r>
      <w:r w:rsidR="0088220C">
        <w:rPr>
          <w:sz w:val="28"/>
          <w:szCs w:val="28"/>
        </w:rPr>
        <w:t xml:space="preserve"> when the court of appeals concluded that shirts containing the Confederate flag worn in order to celebrate the life of Hank Williams, Sr. and to convey pride in student’s southern heritage was </w:t>
      </w:r>
      <w:r w:rsidR="0088220C">
        <w:rPr>
          <w:sz w:val="28"/>
          <w:szCs w:val="28"/>
        </w:rPr>
        <w:lastRenderedPageBreak/>
        <w:t xml:space="preserve">protected speech. </w:t>
      </w:r>
      <w:r w:rsidR="0088220C" w:rsidRPr="0088220C">
        <w:rPr>
          <w:i/>
          <w:sz w:val="28"/>
          <w:szCs w:val="28"/>
        </w:rPr>
        <w:t>Castorina ex rel. Rewt v. Madison County School Bd.</w:t>
      </w:r>
      <w:r w:rsidR="0088220C">
        <w:rPr>
          <w:sz w:val="28"/>
          <w:szCs w:val="28"/>
        </w:rPr>
        <w:t>, 246 F.3d 536, 540 (</w:t>
      </w:r>
      <w:r w:rsidR="002F6E61">
        <w:rPr>
          <w:sz w:val="28"/>
          <w:szCs w:val="28"/>
        </w:rPr>
        <w:t>6</w:t>
      </w:r>
      <w:r w:rsidR="002F6E61" w:rsidRPr="002F6E61">
        <w:rPr>
          <w:sz w:val="28"/>
          <w:szCs w:val="28"/>
        </w:rPr>
        <w:t>th</w:t>
      </w:r>
      <w:r w:rsidR="002F6E61">
        <w:rPr>
          <w:sz w:val="28"/>
          <w:szCs w:val="28"/>
        </w:rPr>
        <w:t xml:space="preserve"> Cir. </w:t>
      </w:r>
      <w:r w:rsidR="0088220C">
        <w:rPr>
          <w:sz w:val="28"/>
          <w:szCs w:val="28"/>
        </w:rPr>
        <w:t>2001). The court concluded the protection based on testimony by the students, and the school board’</w:t>
      </w:r>
      <w:r w:rsidR="003E3DBE">
        <w:rPr>
          <w:sz w:val="28"/>
          <w:szCs w:val="28"/>
        </w:rPr>
        <w:t>s contention,</w:t>
      </w:r>
      <w:r w:rsidR="0088220C">
        <w:rPr>
          <w:sz w:val="28"/>
          <w:szCs w:val="28"/>
        </w:rPr>
        <w:t xml:space="preserve"> that the flag was meant to show pride in the student’s southern heritage.</w:t>
      </w:r>
      <w:r w:rsidR="003E3DBE">
        <w:rPr>
          <w:sz w:val="28"/>
          <w:szCs w:val="28"/>
        </w:rPr>
        <w:t xml:space="preserve"> </w:t>
      </w:r>
      <w:r w:rsidR="003E3DBE">
        <w:rPr>
          <w:i/>
          <w:sz w:val="28"/>
          <w:szCs w:val="28"/>
        </w:rPr>
        <w:t>Id.</w:t>
      </w:r>
      <w:r w:rsidR="003E3DBE">
        <w:rPr>
          <w:sz w:val="28"/>
          <w:szCs w:val="28"/>
        </w:rPr>
        <w:t xml:space="preserve"> at 540. </w:t>
      </w:r>
    </w:p>
    <w:p w14:paraId="2F5029CC" w14:textId="77777777" w:rsidR="006746AC" w:rsidRPr="00297CF6" w:rsidRDefault="006746AC" w:rsidP="00827D7E">
      <w:pPr>
        <w:rPr>
          <w:sz w:val="28"/>
          <w:szCs w:val="28"/>
        </w:rPr>
      </w:pPr>
      <w:r>
        <w:rPr>
          <w:sz w:val="28"/>
          <w:szCs w:val="28"/>
        </w:rPr>
        <w:tab/>
        <w:t xml:space="preserve">As stated previously, Peterson had three main reasons for getting his tattoo, one of which was to celebrate his southern heritage. The court in </w:t>
      </w:r>
      <w:r>
        <w:rPr>
          <w:i/>
          <w:sz w:val="28"/>
          <w:szCs w:val="28"/>
        </w:rPr>
        <w:t>Castorina</w:t>
      </w:r>
      <w:r>
        <w:rPr>
          <w:sz w:val="28"/>
          <w:szCs w:val="28"/>
        </w:rPr>
        <w:t xml:space="preserve"> held that this reason alone was enough to protect the speech under the First Amendment. The reason for the tattoo of Robert E. Lee’s head was partially for self-</w:t>
      </w:r>
      <w:r w:rsidR="00873001">
        <w:rPr>
          <w:sz w:val="28"/>
          <w:szCs w:val="28"/>
        </w:rPr>
        <w:t>expression;</w:t>
      </w:r>
      <w:r>
        <w:rPr>
          <w:sz w:val="28"/>
          <w:szCs w:val="28"/>
        </w:rPr>
        <w:t xml:space="preserve"> Peterson admits that in his </w:t>
      </w:r>
      <w:r w:rsidR="00873001">
        <w:rPr>
          <w:sz w:val="28"/>
          <w:szCs w:val="28"/>
        </w:rPr>
        <w:t>deposition, but also because of the historical misunderstanding of Lee’s decision to join the Confederate cause. Pl.’s Dep. 39:15-40:3, December 1, 2011. The decision to get the tattoo to help others to better understand the truth behind Robert E. Lee’s true intentions should be considered political speech.</w:t>
      </w:r>
      <w:r w:rsidR="00297CF6">
        <w:rPr>
          <w:sz w:val="28"/>
          <w:szCs w:val="28"/>
        </w:rPr>
        <w:t xml:space="preserve"> The </w:t>
      </w:r>
      <w:r w:rsidR="00297CF6" w:rsidRPr="00297CF6">
        <w:rPr>
          <w:i/>
          <w:sz w:val="28"/>
          <w:szCs w:val="28"/>
        </w:rPr>
        <w:t>Tinker</w:t>
      </w:r>
      <w:r w:rsidR="00297CF6">
        <w:rPr>
          <w:sz w:val="28"/>
          <w:szCs w:val="28"/>
        </w:rPr>
        <w:t xml:space="preserve"> Court’s definition of protected school speech was “silent, passive expression of opinion.” </w:t>
      </w:r>
      <w:r w:rsidR="00297CF6">
        <w:rPr>
          <w:i/>
          <w:sz w:val="28"/>
          <w:szCs w:val="28"/>
        </w:rPr>
        <w:t>Tinker</w:t>
      </w:r>
      <w:r w:rsidR="00297CF6">
        <w:rPr>
          <w:sz w:val="28"/>
          <w:szCs w:val="28"/>
        </w:rPr>
        <w:t xml:space="preserve">, 393 U.S. at 508. The Robert E. Lee tattoo was of a political/historical nature and was most defiantly a “silent, passive expression of opinion” under the </w:t>
      </w:r>
      <w:r w:rsidR="00297CF6">
        <w:rPr>
          <w:i/>
          <w:sz w:val="28"/>
          <w:szCs w:val="28"/>
        </w:rPr>
        <w:t>Tinker</w:t>
      </w:r>
      <w:r w:rsidR="00297CF6">
        <w:rPr>
          <w:sz w:val="28"/>
          <w:szCs w:val="28"/>
        </w:rPr>
        <w:t xml:space="preserve"> standard. </w:t>
      </w:r>
    </w:p>
    <w:p w14:paraId="316037C6" w14:textId="77777777" w:rsidR="00496970" w:rsidRDefault="00FF609A" w:rsidP="00D51276">
      <w:pPr>
        <w:contextualSpacing/>
        <w:jc w:val="center"/>
        <w:rPr>
          <w:b/>
          <w:sz w:val="28"/>
          <w:szCs w:val="28"/>
        </w:rPr>
      </w:pPr>
      <w:r w:rsidRPr="00FF609A">
        <w:rPr>
          <w:b/>
          <w:sz w:val="28"/>
          <w:szCs w:val="28"/>
        </w:rPr>
        <w:t>Conclusion</w:t>
      </w:r>
    </w:p>
    <w:p w14:paraId="53487767" w14:textId="77777777" w:rsidR="00D51276" w:rsidRDefault="009A1F35" w:rsidP="00D51276">
      <w:pPr>
        <w:contextualSpacing/>
        <w:rPr>
          <w:sz w:val="28"/>
          <w:szCs w:val="28"/>
        </w:rPr>
      </w:pPr>
      <w:r>
        <w:rPr>
          <w:sz w:val="28"/>
          <w:szCs w:val="28"/>
        </w:rPr>
        <w:tab/>
      </w:r>
      <w:r w:rsidR="00D817AB">
        <w:rPr>
          <w:sz w:val="28"/>
          <w:szCs w:val="28"/>
        </w:rPr>
        <w:t>There is a</w:t>
      </w:r>
      <w:r>
        <w:rPr>
          <w:sz w:val="28"/>
          <w:szCs w:val="28"/>
        </w:rPr>
        <w:t xml:space="preserve"> genuine issue of material fact for the following reasons. </w:t>
      </w:r>
      <w:r w:rsidR="00FF609A">
        <w:rPr>
          <w:sz w:val="28"/>
          <w:szCs w:val="28"/>
        </w:rPr>
        <w:t xml:space="preserve">Peterson has shown that </w:t>
      </w:r>
      <w:r>
        <w:rPr>
          <w:sz w:val="28"/>
          <w:szCs w:val="28"/>
        </w:rPr>
        <w:t xml:space="preserve">his tattoo was not merely done for self-expression, </w:t>
      </w:r>
      <w:r w:rsidR="00FF609A">
        <w:rPr>
          <w:sz w:val="28"/>
          <w:szCs w:val="28"/>
        </w:rPr>
        <w:lastRenderedPageBreak/>
        <w:t xml:space="preserve">the suspension given to him was contrary to the legal precedent on the issue, the tattoo did not create the possibility of a material and substantial disruption at Gopher Prairie, and that </w:t>
      </w:r>
      <w:r>
        <w:rPr>
          <w:sz w:val="28"/>
          <w:szCs w:val="28"/>
        </w:rPr>
        <w:t>the suspension was justified only by a desire to avoid the negative connotations associated with General Lee and the Confederate flag. For these reasons, the Court should deny the school district’s motion for summary judgment.</w:t>
      </w:r>
    </w:p>
    <w:p w14:paraId="1E198768" w14:textId="77777777" w:rsidR="00D51276" w:rsidRDefault="00D51276" w:rsidP="00D51276">
      <w:pPr>
        <w:spacing w:line="240" w:lineRule="auto"/>
        <w:contextualSpacing/>
        <w:rPr>
          <w:sz w:val="28"/>
          <w:szCs w:val="28"/>
        </w:rPr>
      </w:pPr>
    </w:p>
    <w:p w14:paraId="546C6437" w14:textId="77777777" w:rsidR="00D51276" w:rsidRPr="00D51276" w:rsidRDefault="00775424" w:rsidP="00D51276">
      <w:pPr>
        <w:spacing w:line="240" w:lineRule="auto"/>
        <w:contextualSpacing/>
        <w:rPr>
          <w:b/>
          <w:sz w:val="28"/>
          <w:szCs w:val="28"/>
        </w:rPr>
      </w:pPr>
      <w:r>
        <w:rPr>
          <w:sz w:val="28"/>
          <w:szCs w:val="28"/>
        </w:rPr>
        <w:t>Dated: April 11</w:t>
      </w:r>
      <w:r w:rsidR="005B3236">
        <w:rPr>
          <w:sz w:val="28"/>
          <w:szCs w:val="28"/>
        </w:rPr>
        <w:t>, 2012</w:t>
      </w:r>
      <w:r w:rsidR="00D51276">
        <w:rPr>
          <w:sz w:val="28"/>
          <w:szCs w:val="28"/>
        </w:rPr>
        <w:tab/>
      </w:r>
      <w:r w:rsidR="00D51276">
        <w:rPr>
          <w:sz w:val="28"/>
          <w:szCs w:val="28"/>
        </w:rPr>
        <w:tab/>
      </w:r>
      <w:r w:rsidR="00D51276">
        <w:rPr>
          <w:sz w:val="28"/>
          <w:szCs w:val="28"/>
        </w:rPr>
        <w:tab/>
      </w:r>
      <w:r w:rsidR="00BF5CEB">
        <w:rPr>
          <w:sz w:val="28"/>
          <w:szCs w:val="28"/>
        </w:rPr>
        <w:t>&lt;redacted&gt;&lt;/redacted&gt;</w:t>
      </w:r>
      <w:r w:rsidR="00D51276">
        <w:rPr>
          <w:b/>
          <w:sz w:val="28"/>
          <w:szCs w:val="28"/>
        </w:rPr>
        <w:t>, P.A.</w:t>
      </w:r>
    </w:p>
    <w:p w14:paraId="5D4D7E1A" w14:textId="77777777" w:rsidR="00AE0C3C" w:rsidRDefault="00E508F1" w:rsidP="00D51276">
      <w:pPr>
        <w:spacing w:line="240" w:lineRule="auto"/>
        <w:contextualSpacing/>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00EB8969" w14:textId="77777777" w:rsidR="00E508F1" w:rsidRDefault="00AE0C3C" w:rsidP="00BF5CEB">
      <w:pPr>
        <w:spacing w:line="240" w:lineRule="auto"/>
        <w:contextualSpacing/>
        <w:rPr>
          <w:sz w:val="28"/>
          <w:szCs w:val="28"/>
          <w:u w:val="single"/>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508F1">
        <w:rPr>
          <w:sz w:val="28"/>
          <w:szCs w:val="28"/>
        </w:rPr>
        <w:t>By:</w:t>
      </w:r>
      <w:r w:rsidR="00E508F1">
        <w:rPr>
          <w:sz w:val="28"/>
          <w:szCs w:val="28"/>
        </w:rPr>
        <w:tab/>
      </w:r>
      <w:r w:rsidR="00E508F1">
        <w:rPr>
          <w:sz w:val="28"/>
          <w:szCs w:val="28"/>
          <w:u w:val="single"/>
        </w:rPr>
        <w:t xml:space="preserve">/s/ </w:t>
      </w:r>
      <w:r w:rsidR="00BF5CEB">
        <w:rPr>
          <w:sz w:val="28"/>
          <w:szCs w:val="28"/>
        </w:rPr>
        <w:t>&lt;redacted&gt;&lt;/redacted&gt;</w:t>
      </w:r>
    </w:p>
    <w:p w14:paraId="67032C14" w14:textId="77777777" w:rsidR="00E508F1" w:rsidRDefault="00E508F1" w:rsidP="00D51276">
      <w:pPr>
        <w:spacing w:line="240" w:lineRule="auto"/>
        <w:contextualSpacing/>
        <w:rPr>
          <w:sz w:val="28"/>
          <w:szCs w:val="28"/>
          <w:u w:val="single"/>
        </w:rPr>
      </w:pPr>
    </w:p>
    <w:p w14:paraId="7FBED82D" w14:textId="77777777" w:rsidR="00E508F1" w:rsidRDefault="00E508F1" w:rsidP="00D51276">
      <w:pPr>
        <w:spacing w:line="240" w:lineRule="auto"/>
        <w:contextualSpacing/>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Attorneys for Plaintiff</w:t>
      </w:r>
    </w:p>
    <w:p w14:paraId="577824A4" w14:textId="77777777" w:rsidR="00E508F1" w:rsidRDefault="00E508F1" w:rsidP="00D51276">
      <w:pPr>
        <w:spacing w:line="240" w:lineRule="auto"/>
        <w:contextualSpacing/>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Paul Peterson</w:t>
      </w:r>
    </w:p>
    <w:p w14:paraId="37228FCE" w14:textId="77777777" w:rsidR="00D51276" w:rsidRDefault="00D51276" w:rsidP="00D51276">
      <w:pPr>
        <w:spacing w:line="240" w:lineRule="auto"/>
        <w:contextualSpacing/>
        <w:rPr>
          <w:sz w:val="28"/>
          <w:szCs w:val="28"/>
        </w:rPr>
      </w:pPr>
    </w:p>
    <w:p w14:paraId="43F39EB6" w14:textId="77777777" w:rsidR="00D51276" w:rsidRDefault="00D51276" w:rsidP="00D51276">
      <w:pPr>
        <w:contextualSpacing/>
        <w:jc w:val="center"/>
        <w:rPr>
          <w:b/>
          <w:sz w:val="28"/>
          <w:szCs w:val="28"/>
        </w:rPr>
      </w:pPr>
      <w:r w:rsidRPr="00D51276">
        <w:rPr>
          <w:b/>
          <w:sz w:val="28"/>
          <w:szCs w:val="28"/>
        </w:rPr>
        <w:t>Acknowledgement</w:t>
      </w:r>
    </w:p>
    <w:p w14:paraId="741C93E4" w14:textId="77777777" w:rsidR="00D51276" w:rsidRDefault="00D51276" w:rsidP="00D51276">
      <w:pPr>
        <w:contextualSpacing/>
        <w:rPr>
          <w:sz w:val="28"/>
          <w:szCs w:val="28"/>
        </w:rPr>
      </w:pPr>
      <w:r>
        <w:rPr>
          <w:sz w:val="28"/>
          <w:szCs w:val="28"/>
        </w:rPr>
        <w:tab/>
        <w:t>The undersigned acknowledges that sanctions may be imposed in the circumstances specified in Minnesota Statues section 549.211 (2010).</w:t>
      </w:r>
    </w:p>
    <w:p w14:paraId="076281A0" w14:textId="77777777" w:rsidR="00D51276" w:rsidRPr="00AE0C3C" w:rsidRDefault="00D51276" w:rsidP="00BF5CEB">
      <w:pPr>
        <w:spacing w:line="240" w:lineRule="auto"/>
        <w:contextualSpacing/>
        <w:rPr>
          <w:sz w:val="28"/>
          <w:szCs w:val="28"/>
        </w:rPr>
      </w:pPr>
      <w:r w:rsidRPr="00D51276">
        <w:rPr>
          <w:sz w:val="28"/>
          <w:szCs w:val="28"/>
        </w:rPr>
        <w:tab/>
      </w:r>
      <w:r w:rsidRPr="00D51276">
        <w:rPr>
          <w:sz w:val="28"/>
          <w:szCs w:val="28"/>
        </w:rPr>
        <w:tab/>
      </w:r>
      <w:r w:rsidRPr="00D51276">
        <w:rPr>
          <w:sz w:val="28"/>
          <w:szCs w:val="28"/>
        </w:rPr>
        <w:tab/>
      </w:r>
      <w:r w:rsidRPr="00D51276">
        <w:rPr>
          <w:sz w:val="28"/>
          <w:szCs w:val="28"/>
        </w:rPr>
        <w:tab/>
      </w:r>
      <w:r w:rsidRPr="00D51276">
        <w:rPr>
          <w:sz w:val="28"/>
          <w:szCs w:val="28"/>
        </w:rPr>
        <w:tab/>
      </w:r>
      <w:r w:rsidRPr="00D51276">
        <w:rPr>
          <w:sz w:val="28"/>
          <w:szCs w:val="28"/>
        </w:rPr>
        <w:tab/>
      </w:r>
      <w:r w:rsidRPr="00D51276">
        <w:rPr>
          <w:sz w:val="28"/>
          <w:szCs w:val="28"/>
        </w:rPr>
        <w:tab/>
      </w:r>
      <w:r>
        <w:rPr>
          <w:sz w:val="28"/>
          <w:szCs w:val="28"/>
          <w:u w:val="single"/>
        </w:rPr>
        <w:t xml:space="preserve">/s/ </w:t>
      </w:r>
      <w:r w:rsidR="00BF5CEB">
        <w:rPr>
          <w:sz w:val="28"/>
          <w:szCs w:val="28"/>
        </w:rPr>
        <w:t>&lt;redacted&gt;&lt;/redacted&gt;</w:t>
      </w:r>
      <w:bookmarkStart w:id="0" w:name="_GoBack"/>
      <w:bookmarkEnd w:id="0"/>
    </w:p>
    <w:sectPr w:rsidR="00D51276" w:rsidRPr="00AE0C3C" w:rsidSect="008A5287">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FC9E6" w14:textId="77777777" w:rsidR="00AA283C" w:rsidRDefault="00AA283C" w:rsidP="005A0A9C">
      <w:pPr>
        <w:spacing w:after="0" w:line="240" w:lineRule="auto"/>
      </w:pPr>
      <w:r>
        <w:separator/>
      </w:r>
    </w:p>
  </w:endnote>
  <w:endnote w:type="continuationSeparator" w:id="0">
    <w:p w14:paraId="75ADB20D" w14:textId="77777777" w:rsidR="00AA283C" w:rsidRDefault="00AA283C" w:rsidP="005A0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543564"/>
      <w:docPartObj>
        <w:docPartGallery w:val="Page Numbers (Bottom of Page)"/>
        <w:docPartUnique/>
      </w:docPartObj>
    </w:sdtPr>
    <w:sdtEndPr>
      <w:rPr>
        <w:noProof/>
      </w:rPr>
    </w:sdtEndPr>
    <w:sdtContent>
      <w:p w14:paraId="13D42A32" w14:textId="77777777" w:rsidR="005A0A9C" w:rsidRDefault="00C0026F">
        <w:pPr>
          <w:pStyle w:val="Footer"/>
          <w:jc w:val="center"/>
        </w:pPr>
        <w:r>
          <w:fldChar w:fldCharType="begin"/>
        </w:r>
        <w:r>
          <w:instrText xml:space="preserve"> PAGE   \* MERGEFORMAT </w:instrText>
        </w:r>
        <w:r>
          <w:fldChar w:fldCharType="separate"/>
        </w:r>
        <w:r w:rsidR="00BF5CEB">
          <w:rPr>
            <w:noProof/>
          </w:rPr>
          <w:t>19</w:t>
        </w:r>
        <w:r>
          <w:rPr>
            <w:noProof/>
          </w:rPr>
          <w:fldChar w:fldCharType="end"/>
        </w:r>
      </w:p>
    </w:sdtContent>
  </w:sdt>
  <w:p w14:paraId="4D638DF0" w14:textId="77777777" w:rsidR="005A0A9C" w:rsidRDefault="005A0A9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38AE6" w14:textId="77777777" w:rsidR="00AA283C" w:rsidRDefault="00AA283C" w:rsidP="005A0A9C">
      <w:pPr>
        <w:spacing w:after="0" w:line="240" w:lineRule="auto"/>
      </w:pPr>
      <w:r>
        <w:separator/>
      </w:r>
    </w:p>
  </w:footnote>
  <w:footnote w:type="continuationSeparator" w:id="0">
    <w:p w14:paraId="677FB959" w14:textId="77777777" w:rsidR="00AA283C" w:rsidRDefault="00AA283C" w:rsidP="005A0A9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D0241"/>
    <w:multiLevelType w:val="hybridMultilevel"/>
    <w:tmpl w:val="50F4F462"/>
    <w:lvl w:ilvl="0" w:tplc="0409000F">
      <w:start w:val="1"/>
      <w:numFmt w:val="decimal"/>
      <w:lvlText w:val="%1."/>
      <w:lvlJc w:val="left"/>
      <w:pPr>
        <w:ind w:left="360" w:hanging="360"/>
      </w:pPr>
    </w:lvl>
    <w:lvl w:ilvl="1" w:tplc="F2B83EE4">
      <w:start w:val="1"/>
      <w:numFmt w:val="upperLetter"/>
      <w:lvlText w:val="%2."/>
      <w:lvlJc w:val="left"/>
      <w:pPr>
        <w:ind w:left="1080" w:hanging="360"/>
      </w:pPr>
      <w:rPr>
        <w:b/>
        <w:i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F014F9"/>
    <w:multiLevelType w:val="hybridMultilevel"/>
    <w:tmpl w:val="727212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7850BA6"/>
    <w:multiLevelType w:val="multilevel"/>
    <w:tmpl w:val="0409001D"/>
    <w:numStyleLink w:val="Outline"/>
  </w:abstractNum>
  <w:abstractNum w:abstractNumId="3">
    <w:nsid w:val="487C0710"/>
    <w:multiLevelType w:val="hybridMultilevel"/>
    <w:tmpl w:val="55D4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4C42A7"/>
    <w:multiLevelType w:val="hybridMultilevel"/>
    <w:tmpl w:val="89FC32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454D6"/>
    <w:multiLevelType w:val="multilevel"/>
    <w:tmpl w:val="0409001D"/>
    <w:styleLink w:val="Outline"/>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Roman"/>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7D556C1D"/>
    <w:multiLevelType w:val="hybridMultilevel"/>
    <w:tmpl w:val="70B8A0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4"/>
  </w:num>
  <w:num w:numId="5">
    <w:abstractNumId w:val="5"/>
  </w:num>
  <w:num w:numId="6">
    <w:abstractNumId w:val="2"/>
    <w:lvlOverride w:ilvl="0">
      <w:lvl w:ilvl="0">
        <w:start w:val="1"/>
        <w:numFmt w:val="upperRoman"/>
        <w:lvlText w:val="%1)"/>
        <w:lvlJc w:val="left"/>
        <w:pPr>
          <w:ind w:left="360" w:hanging="360"/>
        </w:pPr>
        <w:rPr>
          <w:b/>
        </w:rPr>
      </w:lvl>
    </w:lvlOverride>
    <w:lvlOverride w:ilvl="1">
      <w:lvl w:ilvl="1">
        <w:start w:val="1"/>
        <w:numFmt w:val="upperLetter"/>
        <w:lvlText w:val="%2)"/>
        <w:lvlJc w:val="left"/>
        <w:pPr>
          <w:ind w:left="720" w:hanging="360"/>
        </w:pPr>
      </w:lvl>
    </w:lvlOverride>
    <w:lvlOverride w:ilvl="2">
      <w:lvl w:ilvl="2">
        <w:start w:val="1"/>
        <w:numFmt w:val="decimal"/>
        <w:lvlText w:val="%3)"/>
        <w:lvlJc w:val="left"/>
        <w:pPr>
          <w:ind w:left="1080" w:hanging="360"/>
        </w:pPr>
      </w:lvl>
    </w:lvlOverride>
    <w:lvlOverride w:ilvl="3">
      <w:lvl w:ilvl="3">
        <w:start w:val="1"/>
        <w:numFmt w:val="lowerLetter"/>
        <w:lvlText w:val="(%4)"/>
        <w:lvlJc w:val="left"/>
        <w:pPr>
          <w:ind w:left="1440" w:hanging="360"/>
        </w:pPr>
      </w:lvl>
    </w:lvlOverride>
    <w:lvlOverride w:ilvl="4">
      <w:lvl w:ilvl="4">
        <w:start w:val="1"/>
        <w:numFmt w:val="lowerRoman"/>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A9C"/>
    <w:rsid w:val="0000050D"/>
    <w:rsid w:val="000028E0"/>
    <w:rsid w:val="000030FF"/>
    <w:rsid w:val="000035A6"/>
    <w:rsid w:val="00003D27"/>
    <w:rsid w:val="000043AC"/>
    <w:rsid w:val="0000747E"/>
    <w:rsid w:val="00010C48"/>
    <w:rsid w:val="00012E5B"/>
    <w:rsid w:val="0001392F"/>
    <w:rsid w:val="0001532A"/>
    <w:rsid w:val="00015A61"/>
    <w:rsid w:val="00016A39"/>
    <w:rsid w:val="000171AC"/>
    <w:rsid w:val="00021CB7"/>
    <w:rsid w:val="00023B17"/>
    <w:rsid w:val="00026777"/>
    <w:rsid w:val="00027B49"/>
    <w:rsid w:val="00034801"/>
    <w:rsid w:val="00037FC6"/>
    <w:rsid w:val="0004717C"/>
    <w:rsid w:val="00047330"/>
    <w:rsid w:val="00053042"/>
    <w:rsid w:val="00057062"/>
    <w:rsid w:val="00060F36"/>
    <w:rsid w:val="0006105B"/>
    <w:rsid w:val="0006206D"/>
    <w:rsid w:val="0006224A"/>
    <w:rsid w:val="000624CE"/>
    <w:rsid w:val="00063B93"/>
    <w:rsid w:val="0006792C"/>
    <w:rsid w:val="00081693"/>
    <w:rsid w:val="000817C6"/>
    <w:rsid w:val="0008438E"/>
    <w:rsid w:val="00094419"/>
    <w:rsid w:val="00097235"/>
    <w:rsid w:val="000A00FD"/>
    <w:rsid w:val="000A1194"/>
    <w:rsid w:val="000A11BD"/>
    <w:rsid w:val="000A1783"/>
    <w:rsid w:val="000A1987"/>
    <w:rsid w:val="000A3A52"/>
    <w:rsid w:val="000A7E18"/>
    <w:rsid w:val="000B0B45"/>
    <w:rsid w:val="000B284C"/>
    <w:rsid w:val="000B42D6"/>
    <w:rsid w:val="000B47E9"/>
    <w:rsid w:val="000B4A74"/>
    <w:rsid w:val="000B71F3"/>
    <w:rsid w:val="000B7C02"/>
    <w:rsid w:val="000C2AB3"/>
    <w:rsid w:val="000C2B37"/>
    <w:rsid w:val="000C37AF"/>
    <w:rsid w:val="000C661E"/>
    <w:rsid w:val="000C7C25"/>
    <w:rsid w:val="000D1589"/>
    <w:rsid w:val="000D1EFE"/>
    <w:rsid w:val="000D32F9"/>
    <w:rsid w:val="000D419C"/>
    <w:rsid w:val="000D47DE"/>
    <w:rsid w:val="000D6742"/>
    <w:rsid w:val="000E40F2"/>
    <w:rsid w:val="000E4AD8"/>
    <w:rsid w:val="000F039A"/>
    <w:rsid w:val="000F07BB"/>
    <w:rsid w:val="000F0A82"/>
    <w:rsid w:val="000F3C77"/>
    <w:rsid w:val="000F4D2E"/>
    <w:rsid w:val="000F518A"/>
    <w:rsid w:val="00103030"/>
    <w:rsid w:val="00104C9A"/>
    <w:rsid w:val="00105053"/>
    <w:rsid w:val="00107221"/>
    <w:rsid w:val="00110871"/>
    <w:rsid w:val="001112AD"/>
    <w:rsid w:val="0011247E"/>
    <w:rsid w:val="001128B8"/>
    <w:rsid w:val="00115DB2"/>
    <w:rsid w:val="0012039C"/>
    <w:rsid w:val="00121496"/>
    <w:rsid w:val="00126318"/>
    <w:rsid w:val="00130F22"/>
    <w:rsid w:val="001351DD"/>
    <w:rsid w:val="00135CC6"/>
    <w:rsid w:val="00137AB2"/>
    <w:rsid w:val="00140AEB"/>
    <w:rsid w:val="00142F99"/>
    <w:rsid w:val="001431B9"/>
    <w:rsid w:val="00144D08"/>
    <w:rsid w:val="0014502D"/>
    <w:rsid w:val="001459C8"/>
    <w:rsid w:val="00145D62"/>
    <w:rsid w:val="0014711B"/>
    <w:rsid w:val="00151B26"/>
    <w:rsid w:val="00152147"/>
    <w:rsid w:val="001567C0"/>
    <w:rsid w:val="001569A2"/>
    <w:rsid w:val="0016044B"/>
    <w:rsid w:val="00160A6E"/>
    <w:rsid w:val="00160EC1"/>
    <w:rsid w:val="0016269E"/>
    <w:rsid w:val="0016365E"/>
    <w:rsid w:val="00164E18"/>
    <w:rsid w:val="00171482"/>
    <w:rsid w:val="00171CF4"/>
    <w:rsid w:val="00172B12"/>
    <w:rsid w:val="00175D2F"/>
    <w:rsid w:val="0017608D"/>
    <w:rsid w:val="00176959"/>
    <w:rsid w:val="00176CF9"/>
    <w:rsid w:val="0018199E"/>
    <w:rsid w:val="00182733"/>
    <w:rsid w:val="001850E2"/>
    <w:rsid w:val="001879C9"/>
    <w:rsid w:val="001927F0"/>
    <w:rsid w:val="00194AD9"/>
    <w:rsid w:val="001A06CB"/>
    <w:rsid w:val="001A492C"/>
    <w:rsid w:val="001A5005"/>
    <w:rsid w:val="001A73FC"/>
    <w:rsid w:val="001A7A4B"/>
    <w:rsid w:val="001B3080"/>
    <w:rsid w:val="001B54CE"/>
    <w:rsid w:val="001C0669"/>
    <w:rsid w:val="001C200D"/>
    <w:rsid w:val="001C5FCF"/>
    <w:rsid w:val="001D0096"/>
    <w:rsid w:val="001D1DBC"/>
    <w:rsid w:val="001D5210"/>
    <w:rsid w:val="001D578D"/>
    <w:rsid w:val="001D5BDD"/>
    <w:rsid w:val="001D6AF8"/>
    <w:rsid w:val="001D716C"/>
    <w:rsid w:val="001D7B1F"/>
    <w:rsid w:val="001E06A9"/>
    <w:rsid w:val="001E2C2D"/>
    <w:rsid w:val="001E4021"/>
    <w:rsid w:val="001E6526"/>
    <w:rsid w:val="001E7C83"/>
    <w:rsid w:val="001E7D38"/>
    <w:rsid w:val="001F0FA1"/>
    <w:rsid w:val="001F2F39"/>
    <w:rsid w:val="001F4B5C"/>
    <w:rsid w:val="001F540F"/>
    <w:rsid w:val="001F671A"/>
    <w:rsid w:val="00200DDD"/>
    <w:rsid w:val="0020294A"/>
    <w:rsid w:val="00205C26"/>
    <w:rsid w:val="00207773"/>
    <w:rsid w:val="00210892"/>
    <w:rsid w:val="00211207"/>
    <w:rsid w:val="00212306"/>
    <w:rsid w:val="002126DC"/>
    <w:rsid w:val="00214263"/>
    <w:rsid w:val="00215A27"/>
    <w:rsid w:val="00222B38"/>
    <w:rsid w:val="002236DB"/>
    <w:rsid w:val="00225661"/>
    <w:rsid w:val="00225A3D"/>
    <w:rsid w:val="0022651F"/>
    <w:rsid w:val="002269A5"/>
    <w:rsid w:val="002269B2"/>
    <w:rsid w:val="00230C55"/>
    <w:rsid w:val="00234DCF"/>
    <w:rsid w:val="002367B8"/>
    <w:rsid w:val="0023703A"/>
    <w:rsid w:val="00240EFF"/>
    <w:rsid w:val="00241651"/>
    <w:rsid w:val="0024427D"/>
    <w:rsid w:val="00244DB6"/>
    <w:rsid w:val="00245EBA"/>
    <w:rsid w:val="00246F66"/>
    <w:rsid w:val="00247799"/>
    <w:rsid w:val="0025322C"/>
    <w:rsid w:val="0025446D"/>
    <w:rsid w:val="002569A2"/>
    <w:rsid w:val="0025786C"/>
    <w:rsid w:val="00264A2E"/>
    <w:rsid w:val="0026601E"/>
    <w:rsid w:val="00266514"/>
    <w:rsid w:val="00266853"/>
    <w:rsid w:val="00266F81"/>
    <w:rsid w:val="00270365"/>
    <w:rsid w:val="00270AA2"/>
    <w:rsid w:val="00271FEA"/>
    <w:rsid w:val="00272B84"/>
    <w:rsid w:val="002732D7"/>
    <w:rsid w:val="002761D5"/>
    <w:rsid w:val="00277399"/>
    <w:rsid w:val="00281ECE"/>
    <w:rsid w:val="002822BD"/>
    <w:rsid w:val="00286B51"/>
    <w:rsid w:val="00290277"/>
    <w:rsid w:val="00290A0A"/>
    <w:rsid w:val="00291715"/>
    <w:rsid w:val="00292C9B"/>
    <w:rsid w:val="00293E2C"/>
    <w:rsid w:val="002942E4"/>
    <w:rsid w:val="00297CF6"/>
    <w:rsid w:val="00297E07"/>
    <w:rsid w:val="002A0C64"/>
    <w:rsid w:val="002A2ABE"/>
    <w:rsid w:val="002A5AD2"/>
    <w:rsid w:val="002B24F5"/>
    <w:rsid w:val="002B784F"/>
    <w:rsid w:val="002B7F26"/>
    <w:rsid w:val="002C18A4"/>
    <w:rsid w:val="002C1BCF"/>
    <w:rsid w:val="002C2159"/>
    <w:rsid w:val="002C2CEE"/>
    <w:rsid w:val="002C2FD4"/>
    <w:rsid w:val="002C318E"/>
    <w:rsid w:val="002C3C42"/>
    <w:rsid w:val="002C3FF5"/>
    <w:rsid w:val="002C4A6F"/>
    <w:rsid w:val="002D1909"/>
    <w:rsid w:val="002D21EE"/>
    <w:rsid w:val="002D3DA4"/>
    <w:rsid w:val="002D6728"/>
    <w:rsid w:val="002E0297"/>
    <w:rsid w:val="002E28C1"/>
    <w:rsid w:val="002E3E11"/>
    <w:rsid w:val="002E3E3B"/>
    <w:rsid w:val="002E4D89"/>
    <w:rsid w:val="002E581D"/>
    <w:rsid w:val="002E7D39"/>
    <w:rsid w:val="002F2C1A"/>
    <w:rsid w:val="002F3DBC"/>
    <w:rsid w:val="002F55AC"/>
    <w:rsid w:val="002F6E61"/>
    <w:rsid w:val="00301190"/>
    <w:rsid w:val="00301B22"/>
    <w:rsid w:val="00302374"/>
    <w:rsid w:val="00302ABF"/>
    <w:rsid w:val="003058BF"/>
    <w:rsid w:val="0030613C"/>
    <w:rsid w:val="003067E3"/>
    <w:rsid w:val="00323BE3"/>
    <w:rsid w:val="00325878"/>
    <w:rsid w:val="003308D1"/>
    <w:rsid w:val="00330CE2"/>
    <w:rsid w:val="00331498"/>
    <w:rsid w:val="00332866"/>
    <w:rsid w:val="003342CD"/>
    <w:rsid w:val="00335F22"/>
    <w:rsid w:val="0034132E"/>
    <w:rsid w:val="00344499"/>
    <w:rsid w:val="00344BD6"/>
    <w:rsid w:val="0034533D"/>
    <w:rsid w:val="003466C6"/>
    <w:rsid w:val="00346F26"/>
    <w:rsid w:val="0035027F"/>
    <w:rsid w:val="00351198"/>
    <w:rsid w:val="00355415"/>
    <w:rsid w:val="00356E41"/>
    <w:rsid w:val="003575F5"/>
    <w:rsid w:val="00357D9B"/>
    <w:rsid w:val="00360FEA"/>
    <w:rsid w:val="00363368"/>
    <w:rsid w:val="00363AAB"/>
    <w:rsid w:val="003656AE"/>
    <w:rsid w:val="00367F43"/>
    <w:rsid w:val="00370DA9"/>
    <w:rsid w:val="00370EC4"/>
    <w:rsid w:val="00374848"/>
    <w:rsid w:val="003750D8"/>
    <w:rsid w:val="00376AF5"/>
    <w:rsid w:val="003771CD"/>
    <w:rsid w:val="00380EAE"/>
    <w:rsid w:val="0038220D"/>
    <w:rsid w:val="00383901"/>
    <w:rsid w:val="00384A17"/>
    <w:rsid w:val="00387A6E"/>
    <w:rsid w:val="00390743"/>
    <w:rsid w:val="00390DCC"/>
    <w:rsid w:val="00393B48"/>
    <w:rsid w:val="00393BC8"/>
    <w:rsid w:val="00394CC4"/>
    <w:rsid w:val="003A0169"/>
    <w:rsid w:val="003A59B5"/>
    <w:rsid w:val="003A5BD4"/>
    <w:rsid w:val="003A66B2"/>
    <w:rsid w:val="003A6A6F"/>
    <w:rsid w:val="003A6F82"/>
    <w:rsid w:val="003A7D0F"/>
    <w:rsid w:val="003B09F5"/>
    <w:rsid w:val="003B12AB"/>
    <w:rsid w:val="003B2068"/>
    <w:rsid w:val="003B38C2"/>
    <w:rsid w:val="003B4514"/>
    <w:rsid w:val="003C0222"/>
    <w:rsid w:val="003C0929"/>
    <w:rsid w:val="003C0C94"/>
    <w:rsid w:val="003C0FB3"/>
    <w:rsid w:val="003C20CC"/>
    <w:rsid w:val="003C3389"/>
    <w:rsid w:val="003D27DD"/>
    <w:rsid w:val="003D3A6C"/>
    <w:rsid w:val="003E00B6"/>
    <w:rsid w:val="003E0874"/>
    <w:rsid w:val="003E0DB3"/>
    <w:rsid w:val="003E1B35"/>
    <w:rsid w:val="003E1CD5"/>
    <w:rsid w:val="003E3DBE"/>
    <w:rsid w:val="003E4FED"/>
    <w:rsid w:val="003E558C"/>
    <w:rsid w:val="003E753B"/>
    <w:rsid w:val="003E7C78"/>
    <w:rsid w:val="003F0C80"/>
    <w:rsid w:val="003F2395"/>
    <w:rsid w:val="003F3AF5"/>
    <w:rsid w:val="003F62E0"/>
    <w:rsid w:val="00402868"/>
    <w:rsid w:val="0040324A"/>
    <w:rsid w:val="00405200"/>
    <w:rsid w:val="00405E99"/>
    <w:rsid w:val="004060FE"/>
    <w:rsid w:val="0040780C"/>
    <w:rsid w:val="00413742"/>
    <w:rsid w:val="00414FDA"/>
    <w:rsid w:val="00421EC2"/>
    <w:rsid w:val="004230FD"/>
    <w:rsid w:val="0042347E"/>
    <w:rsid w:val="0042469D"/>
    <w:rsid w:val="00425A80"/>
    <w:rsid w:val="00425BBE"/>
    <w:rsid w:val="00426E9E"/>
    <w:rsid w:val="0043227A"/>
    <w:rsid w:val="00432804"/>
    <w:rsid w:val="00432C28"/>
    <w:rsid w:val="00435791"/>
    <w:rsid w:val="004376FC"/>
    <w:rsid w:val="00437C93"/>
    <w:rsid w:val="0044046C"/>
    <w:rsid w:val="00452D13"/>
    <w:rsid w:val="004548FC"/>
    <w:rsid w:val="00457160"/>
    <w:rsid w:val="00461503"/>
    <w:rsid w:val="00461C79"/>
    <w:rsid w:val="00461DA9"/>
    <w:rsid w:val="00462F65"/>
    <w:rsid w:val="004632C8"/>
    <w:rsid w:val="0046515F"/>
    <w:rsid w:val="004664DD"/>
    <w:rsid w:val="004744ED"/>
    <w:rsid w:val="00474D6E"/>
    <w:rsid w:val="0047627E"/>
    <w:rsid w:val="004768BD"/>
    <w:rsid w:val="00477D18"/>
    <w:rsid w:val="00480E4E"/>
    <w:rsid w:val="004839B5"/>
    <w:rsid w:val="00485374"/>
    <w:rsid w:val="00485C1F"/>
    <w:rsid w:val="00486BC1"/>
    <w:rsid w:val="00490B60"/>
    <w:rsid w:val="00491338"/>
    <w:rsid w:val="00491389"/>
    <w:rsid w:val="004932C4"/>
    <w:rsid w:val="00496970"/>
    <w:rsid w:val="004A4C5C"/>
    <w:rsid w:val="004A4D26"/>
    <w:rsid w:val="004A6C29"/>
    <w:rsid w:val="004A72DF"/>
    <w:rsid w:val="004A7F56"/>
    <w:rsid w:val="004B08AD"/>
    <w:rsid w:val="004B2F58"/>
    <w:rsid w:val="004B3877"/>
    <w:rsid w:val="004B3F6A"/>
    <w:rsid w:val="004B6352"/>
    <w:rsid w:val="004C35E3"/>
    <w:rsid w:val="004C3F18"/>
    <w:rsid w:val="004C5667"/>
    <w:rsid w:val="004C5898"/>
    <w:rsid w:val="004C5986"/>
    <w:rsid w:val="004D1B0E"/>
    <w:rsid w:val="004D40E1"/>
    <w:rsid w:val="004D7131"/>
    <w:rsid w:val="004D7D78"/>
    <w:rsid w:val="004E12AD"/>
    <w:rsid w:val="004E27BB"/>
    <w:rsid w:val="004E2B5E"/>
    <w:rsid w:val="004E3339"/>
    <w:rsid w:val="004E57A9"/>
    <w:rsid w:val="004E63DD"/>
    <w:rsid w:val="004E65E9"/>
    <w:rsid w:val="004E69A4"/>
    <w:rsid w:val="004E7BA2"/>
    <w:rsid w:val="004F2326"/>
    <w:rsid w:val="005019CE"/>
    <w:rsid w:val="00501E4E"/>
    <w:rsid w:val="00502F28"/>
    <w:rsid w:val="00505D25"/>
    <w:rsid w:val="00505EB3"/>
    <w:rsid w:val="005121EF"/>
    <w:rsid w:val="00512780"/>
    <w:rsid w:val="00513A35"/>
    <w:rsid w:val="00520C9B"/>
    <w:rsid w:val="005225EF"/>
    <w:rsid w:val="005239C2"/>
    <w:rsid w:val="00523D78"/>
    <w:rsid w:val="00531ECF"/>
    <w:rsid w:val="005328CC"/>
    <w:rsid w:val="0053466C"/>
    <w:rsid w:val="005355AA"/>
    <w:rsid w:val="005376E9"/>
    <w:rsid w:val="00541D93"/>
    <w:rsid w:val="00542830"/>
    <w:rsid w:val="00546038"/>
    <w:rsid w:val="00551A68"/>
    <w:rsid w:val="0055355D"/>
    <w:rsid w:val="00555A37"/>
    <w:rsid w:val="00556953"/>
    <w:rsid w:val="005572FD"/>
    <w:rsid w:val="005577C4"/>
    <w:rsid w:val="0056187F"/>
    <w:rsid w:val="00561CAB"/>
    <w:rsid w:val="005638DB"/>
    <w:rsid w:val="005648C5"/>
    <w:rsid w:val="00564EF4"/>
    <w:rsid w:val="005706D8"/>
    <w:rsid w:val="005713F7"/>
    <w:rsid w:val="00571C81"/>
    <w:rsid w:val="005726B5"/>
    <w:rsid w:val="005810EA"/>
    <w:rsid w:val="00582D8B"/>
    <w:rsid w:val="00583778"/>
    <w:rsid w:val="005860BF"/>
    <w:rsid w:val="005872C1"/>
    <w:rsid w:val="00590207"/>
    <w:rsid w:val="00590CA6"/>
    <w:rsid w:val="00592587"/>
    <w:rsid w:val="00594CA5"/>
    <w:rsid w:val="0059722B"/>
    <w:rsid w:val="005A0092"/>
    <w:rsid w:val="005A0A9C"/>
    <w:rsid w:val="005A1FC5"/>
    <w:rsid w:val="005A4894"/>
    <w:rsid w:val="005A7CE3"/>
    <w:rsid w:val="005B07B8"/>
    <w:rsid w:val="005B3236"/>
    <w:rsid w:val="005B3A3D"/>
    <w:rsid w:val="005B479C"/>
    <w:rsid w:val="005B69F0"/>
    <w:rsid w:val="005B743D"/>
    <w:rsid w:val="005C0FC1"/>
    <w:rsid w:val="005C26C3"/>
    <w:rsid w:val="005C2A79"/>
    <w:rsid w:val="005C66D0"/>
    <w:rsid w:val="005D361A"/>
    <w:rsid w:val="005D433D"/>
    <w:rsid w:val="005D52C9"/>
    <w:rsid w:val="005D5A31"/>
    <w:rsid w:val="005D79EB"/>
    <w:rsid w:val="005E0787"/>
    <w:rsid w:val="005E0980"/>
    <w:rsid w:val="005E4472"/>
    <w:rsid w:val="005E58D9"/>
    <w:rsid w:val="005E6894"/>
    <w:rsid w:val="005E6EBB"/>
    <w:rsid w:val="005E75BC"/>
    <w:rsid w:val="005F00D0"/>
    <w:rsid w:val="005F017F"/>
    <w:rsid w:val="005F0683"/>
    <w:rsid w:val="005F710C"/>
    <w:rsid w:val="005F76B8"/>
    <w:rsid w:val="00601625"/>
    <w:rsid w:val="00607732"/>
    <w:rsid w:val="006103EB"/>
    <w:rsid w:val="006113E1"/>
    <w:rsid w:val="00614171"/>
    <w:rsid w:val="006148BA"/>
    <w:rsid w:val="00620CE0"/>
    <w:rsid w:val="00623B36"/>
    <w:rsid w:val="006270FF"/>
    <w:rsid w:val="00627F71"/>
    <w:rsid w:val="0063191E"/>
    <w:rsid w:val="00634715"/>
    <w:rsid w:val="006357F9"/>
    <w:rsid w:val="0064024F"/>
    <w:rsid w:val="006407DF"/>
    <w:rsid w:val="00640800"/>
    <w:rsid w:val="00641459"/>
    <w:rsid w:val="00644315"/>
    <w:rsid w:val="006443E5"/>
    <w:rsid w:val="00644A2E"/>
    <w:rsid w:val="006452E2"/>
    <w:rsid w:val="006463BC"/>
    <w:rsid w:val="0064667F"/>
    <w:rsid w:val="006468C4"/>
    <w:rsid w:val="006504EB"/>
    <w:rsid w:val="00650F6A"/>
    <w:rsid w:val="006523DF"/>
    <w:rsid w:val="00656EDA"/>
    <w:rsid w:val="00657B58"/>
    <w:rsid w:val="0066015D"/>
    <w:rsid w:val="006633FA"/>
    <w:rsid w:val="00664819"/>
    <w:rsid w:val="006714E3"/>
    <w:rsid w:val="006719B7"/>
    <w:rsid w:val="006743DD"/>
    <w:rsid w:val="006746AC"/>
    <w:rsid w:val="00675D37"/>
    <w:rsid w:val="00681365"/>
    <w:rsid w:val="00681E89"/>
    <w:rsid w:val="00684D06"/>
    <w:rsid w:val="006857E6"/>
    <w:rsid w:val="00685D03"/>
    <w:rsid w:val="006860E0"/>
    <w:rsid w:val="00690A90"/>
    <w:rsid w:val="00692E1C"/>
    <w:rsid w:val="006934A3"/>
    <w:rsid w:val="006935CE"/>
    <w:rsid w:val="00693DC4"/>
    <w:rsid w:val="006945AB"/>
    <w:rsid w:val="00694F0F"/>
    <w:rsid w:val="006953CF"/>
    <w:rsid w:val="00696877"/>
    <w:rsid w:val="00696EF8"/>
    <w:rsid w:val="00697EFF"/>
    <w:rsid w:val="006A31BF"/>
    <w:rsid w:val="006A41F8"/>
    <w:rsid w:val="006A5083"/>
    <w:rsid w:val="006A7563"/>
    <w:rsid w:val="006B334E"/>
    <w:rsid w:val="006B59D7"/>
    <w:rsid w:val="006B5D8E"/>
    <w:rsid w:val="006B5F87"/>
    <w:rsid w:val="006B69AE"/>
    <w:rsid w:val="006C0401"/>
    <w:rsid w:val="006C3265"/>
    <w:rsid w:val="006C3CDA"/>
    <w:rsid w:val="006C3E1E"/>
    <w:rsid w:val="006C448D"/>
    <w:rsid w:val="006C7531"/>
    <w:rsid w:val="006D031A"/>
    <w:rsid w:val="006D04F3"/>
    <w:rsid w:val="006D13D9"/>
    <w:rsid w:val="006D3BD3"/>
    <w:rsid w:val="006E065C"/>
    <w:rsid w:val="006E12B0"/>
    <w:rsid w:val="006E2A72"/>
    <w:rsid w:val="006E5BDB"/>
    <w:rsid w:val="006E65BD"/>
    <w:rsid w:val="006F0451"/>
    <w:rsid w:val="006F2ADB"/>
    <w:rsid w:val="006F2BF1"/>
    <w:rsid w:val="006F5EBC"/>
    <w:rsid w:val="00702BB0"/>
    <w:rsid w:val="00706F58"/>
    <w:rsid w:val="00710E11"/>
    <w:rsid w:val="00711969"/>
    <w:rsid w:val="00713949"/>
    <w:rsid w:val="007147BF"/>
    <w:rsid w:val="007200CC"/>
    <w:rsid w:val="00720B38"/>
    <w:rsid w:val="0072417E"/>
    <w:rsid w:val="00725123"/>
    <w:rsid w:val="00725206"/>
    <w:rsid w:val="00725777"/>
    <w:rsid w:val="00726F2D"/>
    <w:rsid w:val="007274F6"/>
    <w:rsid w:val="00727F10"/>
    <w:rsid w:val="00727F80"/>
    <w:rsid w:val="007313F6"/>
    <w:rsid w:val="00732135"/>
    <w:rsid w:val="00733645"/>
    <w:rsid w:val="00734CD7"/>
    <w:rsid w:val="00735484"/>
    <w:rsid w:val="00735EBA"/>
    <w:rsid w:val="00736440"/>
    <w:rsid w:val="0073721D"/>
    <w:rsid w:val="00737235"/>
    <w:rsid w:val="00737513"/>
    <w:rsid w:val="00740D8A"/>
    <w:rsid w:val="00741555"/>
    <w:rsid w:val="00742BBC"/>
    <w:rsid w:val="00744014"/>
    <w:rsid w:val="007450F1"/>
    <w:rsid w:val="007458F0"/>
    <w:rsid w:val="0074637C"/>
    <w:rsid w:val="00746FD3"/>
    <w:rsid w:val="0075004C"/>
    <w:rsid w:val="00750836"/>
    <w:rsid w:val="00751167"/>
    <w:rsid w:val="00751BC4"/>
    <w:rsid w:val="007534BB"/>
    <w:rsid w:val="00753D5A"/>
    <w:rsid w:val="007546DC"/>
    <w:rsid w:val="00754BEB"/>
    <w:rsid w:val="0075551F"/>
    <w:rsid w:val="00755539"/>
    <w:rsid w:val="00755E32"/>
    <w:rsid w:val="007563E2"/>
    <w:rsid w:val="00761BA5"/>
    <w:rsid w:val="00762A63"/>
    <w:rsid w:val="00762CBD"/>
    <w:rsid w:val="007652F6"/>
    <w:rsid w:val="00766887"/>
    <w:rsid w:val="00773972"/>
    <w:rsid w:val="00775104"/>
    <w:rsid w:val="0077524D"/>
    <w:rsid w:val="00775424"/>
    <w:rsid w:val="0077712A"/>
    <w:rsid w:val="007806EF"/>
    <w:rsid w:val="007826D4"/>
    <w:rsid w:val="00786599"/>
    <w:rsid w:val="00791C8E"/>
    <w:rsid w:val="00792219"/>
    <w:rsid w:val="00792BA9"/>
    <w:rsid w:val="007A1084"/>
    <w:rsid w:val="007A15D8"/>
    <w:rsid w:val="007A4342"/>
    <w:rsid w:val="007A4EFE"/>
    <w:rsid w:val="007A5463"/>
    <w:rsid w:val="007A6FC7"/>
    <w:rsid w:val="007B038A"/>
    <w:rsid w:val="007B0FCE"/>
    <w:rsid w:val="007B3A3D"/>
    <w:rsid w:val="007B6BCE"/>
    <w:rsid w:val="007C0FB3"/>
    <w:rsid w:val="007C16AD"/>
    <w:rsid w:val="007C1CA9"/>
    <w:rsid w:val="007C4627"/>
    <w:rsid w:val="007D35C0"/>
    <w:rsid w:val="007D405C"/>
    <w:rsid w:val="007D6720"/>
    <w:rsid w:val="007D6CA3"/>
    <w:rsid w:val="007E4187"/>
    <w:rsid w:val="007E68A3"/>
    <w:rsid w:val="007F2E23"/>
    <w:rsid w:val="007F340E"/>
    <w:rsid w:val="0080037E"/>
    <w:rsid w:val="00802463"/>
    <w:rsid w:val="008063EF"/>
    <w:rsid w:val="00806AD8"/>
    <w:rsid w:val="0080798D"/>
    <w:rsid w:val="00807FBC"/>
    <w:rsid w:val="00810905"/>
    <w:rsid w:val="00813321"/>
    <w:rsid w:val="00816C48"/>
    <w:rsid w:val="00817548"/>
    <w:rsid w:val="0081767B"/>
    <w:rsid w:val="00821A7F"/>
    <w:rsid w:val="0082228D"/>
    <w:rsid w:val="008231D6"/>
    <w:rsid w:val="0082333B"/>
    <w:rsid w:val="008257D5"/>
    <w:rsid w:val="00826076"/>
    <w:rsid w:val="0082766D"/>
    <w:rsid w:val="00827D7E"/>
    <w:rsid w:val="0083045D"/>
    <w:rsid w:val="00830FF9"/>
    <w:rsid w:val="00833609"/>
    <w:rsid w:val="00836D22"/>
    <w:rsid w:val="00840F4E"/>
    <w:rsid w:val="00841D4E"/>
    <w:rsid w:val="008444F5"/>
    <w:rsid w:val="00847C69"/>
    <w:rsid w:val="00852A40"/>
    <w:rsid w:val="00853A82"/>
    <w:rsid w:val="00854811"/>
    <w:rsid w:val="0085661A"/>
    <w:rsid w:val="0085724E"/>
    <w:rsid w:val="00860B8D"/>
    <w:rsid w:val="00861137"/>
    <w:rsid w:val="0086198B"/>
    <w:rsid w:val="00862024"/>
    <w:rsid w:val="00864285"/>
    <w:rsid w:val="00866520"/>
    <w:rsid w:val="00867B1B"/>
    <w:rsid w:val="00871922"/>
    <w:rsid w:val="00872681"/>
    <w:rsid w:val="00873001"/>
    <w:rsid w:val="008756D3"/>
    <w:rsid w:val="00880994"/>
    <w:rsid w:val="00881901"/>
    <w:rsid w:val="00881951"/>
    <w:rsid w:val="0088220C"/>
    <w:rsid w:val="00883476"/>
    <w:rsid w:val="0088684E"/>
    <w:rsid w:val="00887D08"/>
    <w:rsid w:val="00890977"/>
    <w:rsid w:val="00894B37"/>
    <w:rsid w:val="008963FE"/>
    <w:rsid w:val="0089685E"/>
    <w:rsid w:val="008A06B7"/>
    <w:rsid w:val="008A0B5B"/>
    <w:rsid w:val="008A3AF1"/>
    <w:rsid w:val="008A5287"/>
    <w:rsid w:val="008A5579"/>
    <w:rsid w:val="008B01E5"/>
    <w:rsid w:val="008B0B32"/>
    <w:rsid w:val="008B2121"/>
    <w:rsid w:val="008B2FA9"/>
    <w:rsid w:val="008B43EB"/>
    <w:rsid w:val="008B54F8"/>
    <w:rsid w:val="008B5F01"/>
    <w:rsid w:val="008C2895"/>
    <w:rsid w:val="008C402A"/>
    <w:rsid w:val="008C460E"/>
    <w:rsid w:val="008D0492"/>
    <w:rsid w:val="008D0ADD"/>
    <w:rsid w:val="008D0E58"/>
    <w:rsid w:val="008D304E"/>
    <w:rsid w:val="008E2DC8"/>
    <w:rsid w:val="008E7090"/>
    <w:rsid w:val="008F432C"/>
    <w:rsid w:val="008F58C4"/>
    <w:rsid w:val="008F5D16"/>
    <w:rsid w:val="008F60F2"/>
    <w:rsid w:val="008F66BE"/>
    <w:rsid w:val="00900769"/>
    <w:rsid w:val="009010D9"/>
    <w:rsid w:val="00901737"/>
    <w:rsid w:val="00901BE7"/>
    <w:rsid w:val="00901D71"/>
    <w:rsid w:val="00903B66"/>
    <w:rsid w:val="0090579E"/>
    <w:rsid w:val="00907632"/>
    <w:rsid w:val="00910087"/>
    <w:rsid w:val="00911F7E"/>
    <w:rsid w:val="0091468B"/>
    <w:rsid w:val="009150C6"/>
    <w:rsid w:val="00920CF4"/>
    <w:rsid w:val="0092413C"/>
    <w:rsid w:val="00927455"/>
    <w:rsid w:val="009324FC"/>
    <w:rsid w:val="00932689"/>
    <w:rsid w:val="009338E4"/>
    <w:rsid w:val="00933B62"/>
    <w:rsid w:val="00936E16"/>
    <w:rsid w:val="00937C4B"/>
    <w:rsid w:val="0094011E"/>
    <w:rsid w:val="009436C0"/>
    <w:rsid w:val="00943B48"/>
    <w:rsid w:val="00947210"/>
    <w:rsid w:val="00947E9B"/>
    <w:rsid w:val="00951193"/>
    <w:rsid w:val="00952885"/>
    <w:rsid w:val="00954059"/>
    <w:rsid w:val="00955B2B"/>
    <w:rsid w:val="009629B0"/>
    <w:rsid w:val="009636B6"/>
    <w:rsid w:val="00964717"/>
    <w:rsid w:val="00966A9B"/>
    <w:rsid w:val="0097208A"/>
    <w:rsid w:val="00974A5A"/>
    <w:rsid w:val="00974E83"/>
    <w:rsid w:val="00974F52"/>
    <w:rsid w:val="009750A2"/>
    <w:rsid w:val="009752B8"/>
    <w:rsid w:val="00976437"/>
    <w:rsid w:val="0098011E"/>
    <w:rsid w:val="00984147"/>
    <w:rsid w:val="009856D4"/>
    <w:rsid w:val="0098645B"/>
    <w:rsid w:val="00987D0A"/>
    <w:rsid w:val="009901E6"/>
    <w:rsid w:val="0099283C"/>
    <w:rsid w:val="009961E4"/>
    <w:rsid w:val="009A1F35"/>
    <w:rsid w:val="009A22BB"/>
    <w:rsid w:val="009A2ADC"/>
    <w:rsid w:val="009A2CEC"/>
    <w:rsid w:val="009A2EE9"/>
    <w:rsid w:val="009A3A14"/>
    <w:rsid w:val="009A470D"/>
    <w:rsid w:val="009A7B67"/>
    <w:rsid w:val="009B173D"/>
    <w:rsid w:val="009B3CAB"/>
    <w:rsid w:val="009B4082"/>
    <w:rsid w:val="009B499F"/>
    <w:rsid w:val="009B59E8"/>
    <w:rsid w:val="009B5BD9"/>
    <w:rsid w:val="009B5D96"/>
    <w:rsid w:val="009C062E"/>
    <w:rsid w:val="009C3132"/>
    <w:rsid w:val="009C3985"/>
    <w:rsid w:val="009C4A42"/>
    <w:rsid w:val="009C4AAD"/>
    <w:rsid w:val="009C50E4"/>
    <w:rsid w:val="009C53C6"/>
    <w:rsid w:val="009C5D6C"/>
    <w:rsid w:val="009C5D72"/>
    <w:rsid w:val="009C65E3"/>
    <w:rsid w:val="009C7102"/>
    <w:rsid w:val="009C727C"/>
    <w:rsid w:val="009C77E4"/>
    <w:rsid w:val="009C785A"/>
    <w:rsid w:val="009D016F"/>
    <w:rsid w:val="009D0DCD"/>
    <w:rsid w:val="009D142C"/>
    <w:rsid w:val="009D144B"/>
    <w:rsid w:val="009D3EF7"/>
    <w:rsid w:val="009D579C"/>
    <w:rsid w:val="009D650A"/>
    <w:rsid w:val="009D764A"/>
    <w:rsid w:val="009D7E0E"/>
    <w:rsid w:val="009E093E"/>
    <w:rsid w:val="009E393D"/>
    <w:rsid w:val="009E443C"/>
    <w:rsid w:val="009E44D9"/>
    <w:rsid w:val="009E5331"/>
    <w:rsid w:val="009E55CD"/>
    <w:rsid w:val="009E5D61"/>
    <w:rsid w:val="009F0AFF"/>
    <w:rsid w:val="009F1291"/>
    <w:rsid w:val="009F3440"/>
    <w:rsid w:val="009F39C2"/>
    <w:rsid w:val="009F3F58"/>
    <w:rsid w:val="009F5ACA"/>
    <w:rsid w:val="009F79C6"/>
    <w:rsid w:val="00A007FB"/>
    <w:rsid w:val="00A014A9"/>
    <w:rsid w:val="00A04FBC"/>
    <w:rsid w:val="00A0606C"/>
    <w:rsid w:val="00A073E0"/>
    <w:rsid w:val="00A07DA8"/>
    <w:rsid w:val="00A1033C"/>
    <w:rsid w:val="00A1068E"/>
    <w:rsid w:val="00A110FE"/>
    <w:rsid w:val="00A13C4F"/>
    <w:rsid w:val="00A1627D"/>
    <w:rsid w:val="00A16F05"/>
    <w:rsid w:val="00A2145E"/>
    <w:rsid w:val="00A216CB"/>
    <w:rsid w:val="00A21AE8"/>
    <w:rsid w:val="00A232E9"/>
    <w:rsid w:val="00A25871"/>
    <w:rsid w:val="00A25AA2"/>
    <w:rsid w:val="00A26DE8"/>
    <w:rsid w:val="00A33E81"/>
    <w:rsid w:val="00A343C4"/>
    <w:rsid w:val="00A35CDF"/>
    <w:rsid w:val="00A35FD8"/>
    <w:rsid w:val="00A419A5"/>
    <w:rsid w:val="00A422D1"/>
    <w:rsid w:val="00A46C7F"/>
    <w:rsid w:val="00A47557"/>
    <w:rsid w:val="00A47E7C"/>
    <w:rsid w:val="00A50592"/>
    <w:rsid w:val="00A50785"/>
    <w:rsid w:val="00A52343"/>
    <w:rsid w:val="00A52D4A"/>
    <w:rsid w:val="00A5427A"/>
    <w:rsid w:val="00A54586"/>
    <w:rsid w:val="00A56589"/>
    <w:rsid w:val="00A566E4"/>
    <w:rsid w:val="00A5737B"/>
    <w:rsid w:val="00A60928"/>
    <w:rsid w:val="00A60BD9"/>
    <w:rsid w:val="00A60C4B"/>
    <w:rsid w:val="00A64020"/>
    <w:rsid w:val="00A64294"/>
    <w:rsid w:val="00A7188E"/>
    <w:rsid w:val="00A750CE"/>
    <w:rsid w:val="00A758C8"/>
    <w:rsid w:val="00A768AD"/>
    <w:rsid w:val="00A77634"/>
    <w:rsid w:val="00A80982"/>
    <w:rsid w:val="00A8248A"/>
    <w:rsid w:val="00A91F96"/>
    <w:rsid w:val="00A942DD"/>
    <w:rsid w:val="00A95844"/>
    <w:rsid w:val="00A95E6D"/>
    <w:rsid w:val="00A97812"/>
    <w:rsid w:val="00AA1577"/>
    <w:rsid w:val="00AA283C"/>
    <w:rsid w:val="00AA284A"/>
    <w:rsid w:val="00AA2B6E"/>
    <w:rsid w:val="00AA4869"/>
    <w:rsid w:val="00AA737F"/>
    <w:rsid w:val="00AA7C87"/>
    <w:rsid w:val="00AB0E9E"/>
    <w:rsid w:val="00AB2583"/>
    <w:rsid w:val="00AB2FDB"/>
    <w:rsid w:val="00AB31F4"/>
    <w:rsid w:val="00AB4194"/>
    <w:rsid w:val="00AC5D6D"/>
    <w:rsid w:val="00AC74E0"/>
    <w:rsid w:val="00AC79FE"/>
    <w:rsid w:val="00AD2A4E"/>
    <w:rsid w:val="00AD47B5"/>
    <w:rsid w:val="00AD507D"/>
    <w:rsid w:val="00AD69CF"/>
    <w:rsid w:val="00AE0C3C"/>
    <w:rsid w:val="00AE1364"/>
    <w:rsid w:val="00AE252C"/>
    <w:rsid w:val="00AE3B49"/>
    <w:rsid w:val="00AE5B2C"/>
    <w:rsid w:val="00AE69D0"/>
    <w:rsid w:val="00AF0FCE"/>
    <w:rsid w:val="00AF349F"/>
    <w:rsid w:val="00AF5955"/>
    <w:rsid w:val="00AF5E61"/>
    <w:rsid w:val="00B03401"/>
    <w:rsid w:val="00B04112"/>
    <w:rsid w:val="00B13CC0"/>
    <w:rsid w:val="00B23F05"/>
    <w:rsid w:val="00B24126"/>
    <w:rsid w:val="00B2525C"/>
    <w:rsid w:val="00B268E5"/>
    <w:rsid w:val="00B314AF"/>
    <w:rsid w:val="00B334BA"/>
    <w:rsid w:val="00B336B9"/>
    <w:rsid w:val="00B336D9"/>
    <w:rsid w:val="00B365FF"/>
    <w:rsid w:val="00B36F08"/>
    <w:rsid w:val="00B370AC"/>
    <w:rsid w:val="00B371F2"/>
    <w:rsid w:val="00B445E4"/>
    <w:rsid w:val="00B45E3F"/>
    <w:rsid w:val="00B46282"/>
    <w:rsid w:val="00B479CD"/>
    <w:rsid w:val="00B50C3C"/>
    <w:rsid w:val="00B51F7A"/>
    <w:rsid w:val="00B52829"/>
    <w:rsid w:val="00B5433F"/>
    <w:rsid w:val="00B57DC8"/>
    <w:rsid w:val="00B63D31"/>
    <w:rsid w:val="00B6752A"/>
    <w:rsid w:val="00B705B7"/>
    <w:rsid w:val="00B70E10"/>
    <w:rsid w:val="00B7298D"/>
    <w:rsid w:val="00B748F4"/>
    <w:rsid w:val="00B74BE7"/>
    <w:rsid w:val="00B80341"/>
    <w:rsid w:val="00B820B2"/>
    <w:rsid w:val="00B823A3"/>
    <w:rsid w:val="00B831EE"/>
    <w:rsid w:val="00B838DE"/>
    <w:rsid w:val="00B84258"/>
    <w:rsid w:val="00B84654"/>
    <w:rsid w:val="00B8573F"/>
    <w:rsid w:val="00B86AF2"/>
    <w:rsid w:val="00B90377"/>
    <w:rsid w:val="00B93586"/>
    <w:rsid w:val="00B9491E"/>
    <w:rsid w:val="00BA1A3E"/>
    <w:rsid w:val="00BA26CF"/>
    <w:rsid w:val="00BA2EBA"/>
    <w:rsid w:val="00BA32BE"/>
    <w:rsid w:val="00BA47BB"/>
    <w:rsid w:val="00BA6EF0"/>
    <w:rsid w:val="00BA6F96"/>
    <w:rsid w:val="00BB2A72"/>
    <w:rsid w:val="00BB2B76"/>
    <w:rsid w:val="00BB383C"/>
    <w:rsid w:val="00BB535D"/>
    <w:rsid w:val="00BB6998"/>
    <w:rsid w:val="00BC4159"/>
    <w:rsid w:val="00BC7C5D"/>
    <w:rsid w:val="00BC7E2D"/>
    <w:rsid w:val="00BD4D6C"/>
    <w:rsid w:val="00BE124E"/>
    <w:rsid w:val="00BE461E"/>
    <w:rsid w:val="00BF03BB"/>
    <w:rsid w:val="00BF1CAB"/>
    <w:rsid w:val="00BF2647"/>
    <w:rsid w:val="00BF4586"/>
    <w:rsid w:val="00BF4B5D"/>
    <w:rsid w:val="00BF4FBD"/>
    <w:rsid w:val="00BF5CEB"/>
    <w:rsid w:val="00BF6E4C"/>
    <w:rsid w:val="00C0026F"/>
    <w:rsid w:val="00C0324C"/>
    <w:rsid w:val="00C04A09"/>
    <w:rsid w:val="00C06E4C"/>
    <w:rsid w:val="00C122DA"/>
    <w:rsid w:val="00C12CFF"/>
    <w:rsid w:val="00C1392A"/>
    <w:rsid w:val="00C14931"/>
    <w:rsid w:val="00C14BE2"/>
    <w:rsid w:val="00C15617"/>
    <w:rsid w:val="00C1751F"/>
    <w:rsid w:val="00C177C1"/>
    <w:rsid w:val="00C26423"/>
    <w:rsid w:val="00C265D0"/>
    <w:rsid w:val="00C26961"/>
    <w:rsid w:val="00C306E0"/>
    <w:rsid w:val="00C3091F"/>
    <w:rsid w:val="00C317BE"/>
    <w:rsid w:val="00C318D2"/>
    <w:rsid w:val="00C33000"/>
    <w:rsid w:val="00C333EE"/>
    <w:rsid w:val="00C342D3"/>
    <w:rsid w:val="00C347FB"/>
    <w:rsid w:val="00C34847"/>
    <w:rsid w:val="00C35880"/>
    <w:rsid w:val="00C35C02"/>
    <w:rsid w:val="00C36039"/>
    <w:rsid w:val="00C3679A"/>
    <w:rsid w:val="00C3732E"/>
    <w:rsid w:val="00C373F8"/>
    <w:rsid w:val="00C425AD"/>
    <w:rsid w:val="00C43919"/>
    <w:rsid w:val="00C43B6E"/>
    <w:rsid w:val="00C46836"/>
    <w:rsid w:val="00C46ACE"/>
    <w:rsid w:val="00C50EA7"/>
    <w:rsid w:val="00C51B1D"/>
    <w:rsid w:val="00C52111"/>
    <w:rsid w:val="00C53B62"/>
    <w:rsid w:val="00C54629"/>
    <w:rsid w:val="00C566AE"/>
    <w:rsid w:val="00C56ABA"/>
    <w:rsid w:val="00C5721C"/>
    <w:rsid w:val="00C57B2B"/>
    <w:rsid w:val="00C64676"/>
    <w:rsid w:val="00C70A86"/>
    <w:rsid w:val="00C7193D"/>
    <w:rsid w:val="00C74012"/>
    <w:rsid w:val="00C7456D"/>
    <w:rsid w:val="00C74D93"/>
    <w:rsid w:val="00C75095"/>
    <w:rsid w:val="00C750FB"/>
    <w:rsid w:val="00C75F50"/>
    <w:rsid w:val="00C760AD"/>
    <w:rsid w:val="00C771CB"/>
    <w:rsid w:val="00C8259F"/>
    <w:rsid w:val="00C82786"/>
    <w:rsid w:val="00C8340B"/>
    <w:rsid w:val="00C83A1D"/>
    <w:rsid w:val="00C8577F"/>
    <w:rsid w:val="00C85B18"/>
    <w:rsid w:val="00C93092"/>
    <w:rsid w:val="00C93605"/>
    <w:rsid w:val="00C96320"/>
    <w:rsid w:val="00CA2598"/>
    <w:rsid w:val="00CB100E"/>
    <w:rsid w:val="00CB14C6"/>
    <w:rsid w:val="00CB248E"/>
    <w:rsid w:val="00CB3305"/>
    <w:rsid w:val="00CB3A94"/>
    <w:rsid w:val="00CB5C2E"/>
    <w:rsid w:val="00CB7516"/>
    <w:rsid w:val="00CC2DFB"/>
    <w:rsid w:val="00CC4FDE"/>
    <w:rsid w:val="00CC69B7"/>
    <w:rsid w:val="00CD2EB1"/>
    <w:rsid w:val="00CD402D"/>
    <w:rsid w:val="00CD4375"/>
    <w:rsid w:val="00CD4D2A"/>
    <w:rsid w:val="00CD5892"/>
    <w:rsid w:val="00CD695E"/>
    <w:rsid w:val="00CD7A46"/>
    <w:rsid w:val="00CD7C16"/>
    <w:rsid w:val="00CD7FA6"/>
    <w:rsid w:val="00CE01E5"/>
    <w:rsid w:val="00CE0C94"/>
    <w:rsid w:val="00CE0CC7"/>
    <w:rsid w:val="00CE1800"/>
    <w:rsid w:val="00CE30DB"/>
    <w:rsid w:val="00CE478D"/>
    <w:rsid w:val="00CE64A3"/>
    <w:rsid w:val="00CF1E0A"/>
    <w:rsid w:val="00CF2C73"/>
    <w:rsid w:val="00CF577E"/>
    <w:rsid w:val="00D00493"/>
    <w:rsid w:val="00D00E38"/>
    <w:rsid w:val="00D01D45"/>
    <w:rsid w:val="00D03FDB"/>
    <w:rsid w:val="00D0404B"/>
    <w:rsid w:val="00D05E74"/>
    <w:rsid w:val="00D06390"/>
    <w:rsid w:val="00D07B3E"/>
    <w:rsid w:val="00D10316"/>
    <w:rsid w:val="00D10BE3"/>
    <w:rsid w:val="00D13043"/>
    <w:rsid w:val="00D16F1B"/>
    <w:rsid w:val="00D17171"/>
    <w:rsid w:val="00D205FA"/>
    <w:rsid w:val="00D2263C"/>
    <w:rsid w:val="00D23C7F"/>
    <w:rsid w:val="00D259EB"/>
    <w:rsid w:val="00D2651F"/>
    <w:rsid w:val="00D30602"/>
    <w:rsid w:val="00D3138F"/>
    <w:rsid w:val="00D330A8"/>
    <w:rsid w:val="00D407BE"/>
    <w:rsid w:val="00D41367"/>
    <w:rsid w:val="00D43665"/>
    <w:rsid w:val="00D44A00"/>
    <w:rsid w:val="00D45B64"/>
    <w:rsid w:val="00D46DFE"/>
    <w:rsid w:val="00D4759A"/>
    <w:rsid w:val="00D50727"/>
    <w:rsid w:val="00D50936"/>
    <w:rsid w:val="00D510BC"/>
    <w:rsid w:val="00D51276"/>
    <w:rsid w:val="00D51D19"/>
    <w:rsid w:val="00D5204D"/>
    <w:rsid w:val="00D530C6"/>
    <w:rsid w:val="00D55025"/>
    <w:rsid w:val="00D57E39"/>
    <w:rsid w:val="00D629FB"/>
    <w:rsid w:val="00D66075"/>
    <w:rsid w:val="00D67CA9"/>
    <w:rsid w:val="00D70156"/>
    <w:rsid w:val="00D71863"/>
    <w:rsid w:val="00D72EB5"/>
    <w:rsid w:val="00D730F5"/>
    <w:rsid w:val="00D757CA"/>
    <w:rsid w:val="00D81186"/>
    <w:rsid w:val="00D81259"/>
    <w:rsid w:val="00D817AB"/>
    <w:rsid w:val="00D83C02"/>
    <w:rsid w:val="00D85279"/>
    <w:rsid w:val="00D86222"/>
    <w:rsid w:val="00D8660B"/>
    <w:rsid w:val="00D8776C"/>
    <w:rsid w:val="00D90866"/>
    <w:rsid w:val="00D91D1B"/>
    <w:rsid w:val="00D96EBF"/>
    <w:rsid w:val="00DA30E6"/>
    <w:rsid w:val="00DA387D"/>
    <w:rsid w:val="00DA41B8"/>
    <w:rsid w:val="00DA465B"/>
    <w:rsid w:val="00DA7EBF"/>
    <w:rsid w:val="00DB2CB1"/>
    <w:rsid w:val="00DB3AC8"/>
    <w:rsid w:val="00DB446D"/>
    <w:rsid w:val="00DB4FBA"/>
    <w:rsid w:val="00DB6CA5"/>
    <w:rsid w:val="00DC3ECC"/>
    <w:rsid w:val="00DC48C2"/>
    <w:rsid w:val="00DC6F35"/>
    <w:rsid w:val="00DC6F72"/>
    <w:rsid w:val="00DD0D89"/>
    <w:rsid w:val="00DD0E2C"/>
    <w:rsid w:val="00DD2F8D"/>
    <w:rsid w:val="00DD3B09"/>
    <w:rsid w:val="00DD4E93"/>
    <w:rsid w:val="00DD6594"/>
    <w:rsid w:val="00DE0046"/>
    <w:rsid w:val="00DE1D82"/>
    <w:rsid w:val="00DE1F9E"/>
    <w:rsid w:val="00DE5444"/>
    <w:rsid w:val="00DF0CD6"/>
    <w:rsid w:val="00DF156A"/>
    <w:rsid w:val="00DF1CD4"/>
    <w:rsid w:val="00DF1FC6"/>
    <w:rsid w:val="00DF2128"/>
    <w:rsid w:val="00DF6304"/>
    <w:rsid w:val="00E002A5"/>
    <w:rsid w:val="00E011BA"/>
    <w:rsid w:val="00E0226E"/>
    <w:rsid w:val="00E02D82"/>
    <w:rsid w:val="00E05EBF"/>
    <w:rsid w:val="00E10785"/>
    <w:rsid w:val="00E1669A"/>
    <w:rsid w:val="00E16836"/>
    <w:rsid w:val="00E172F9"/>
    <w:rsid w:val="00E178CB"/>
    <w:rsid w:val="00E215C3"/>
    <w:rsid w:val="00E2344D"/>
    <w:rsid w:val="00E266E2"/>
    <w:rsid w:val="00E2773E"/>
    <w:rsid w:val="00E31E0B"/>
    <w:rsid w:val="00E3384E"/>
    <w:rsid w:val="00E33EB7"/>
    <w:rsid w:val="00E3582F"/>
    <w:rsid w:val="00E43275"/>
    <w:rsid w:val="00E43DCF"/>
    <w:rsid w:val="00E449B7"/>
    <w:rsid w:val="00E4770F"/>
    <w:rsid w:val="00E508F1"/>
    <w:rsid w:val="00E51510"/>
    <w:rsid w:val="00E5399F"/>
    <w:rsid w:val="00E53C8A"/>
    <w:rsid w:val="00E55077"/>
    <w:rsid w:val="00E55084"/>
    <w:rsid w:val="00E57DAE"/>
    <w:rsid w:val="00E621DA"/>
    <w:rsid w:val="00E63883"/>
    <w:rsid w:val="00E6408E"/>
    <w:rsid w:val="00E65964"/>
    <w:rsid w:val="00E71CD4"/>
    <w:rsid w:val="00E728B2"/>
    <w:rsid w:val="00E72F30"/>
    <w:rsid w:val="00E74DD4"/>
    <w:rsid w:val="00E74FF4"/>
    <w:rsid w:val="00E77106"/>
    <w:rsid w:val="00E7718B"/>
    <w:rsid w:val="00E81BDF"/>
    <w:rsid w:val="00E855A2"/>
    <w:rsid w:val="00E85A38"/>
    <w:rsid w:val="00E8623D"/>
    <w:rsid w:val="00E93746"/>
    <w:rsid w:val="00E93BB2"/>
    <w:rsid w:val="00EA0BA4"/>
    <w:rsid w:val="00EA377D"/>
    <w:rsid w:val="00EA54C4"/>
    <w:rsid w:val="00EA5F59"/>
    <w:rsid w:val="00EA6A0C"/>
    <w:rsid w:val="00EB09CF"/>
    <w:rsid w:val="00EB0CF4"/>
    <w:rsid w:val="00EB2528"/>
    <w:rsid w:val="00EB3B0C"/>
    <w:rsid w:val="00EB45CD"/>
    <w:rsid w:val="00EB4ECC"/>
    <w:rsid w:val="00EB6374"/>
    <w:rsid w:val="00EC2FE3"/>
    <w:rsid w:val="00EC6C00"/>
    <w:rsid w:val="00ED13DF"/>
    <w:rsid w:val="00ED1AD0"/>
    <w:rsid w:val="00ED39A9"/>
    <w:rsid w:val="00ED7041"/>
    <w:rsid w:val="00EE0EA4"/>
    <w:rsid w:val="00EE3113"/>
    <w:rsid w:val="00EE61E3"/>
    <w:rsid w:val="00EE6260"/>
    <w:rsid w:val="00EE6B91"/>
    <w:rsid w:val="00EE78FB"/>
    <w:rsid w:val="00EF1138"/>
    <w:rsid w:val="00EF15AB"/>
    <w:rsid w:val="00EF239F"/>
    <w:rsid w:val="00EF3480"/>
    <w:rsid w:val="00EF5AD5"/>
    <w:rsid w:val="00EF69D8"/>
    <w:rsid w:val="00EF70D8"/>
    <w:rsid w:val="00F01823"/>
    <w:rsid w:val="00F05BE6"/>
    <w:rsid w:val="00F073A5"/>
    <w:rsid w:val="00F07EB6"/>
    <w:rsid w:val="00F1084B"/>
    <w:rsid w:val="00F11802"/>
    <w:rsid w:val="00F12004"/>
    <w:rsid w:val="00F21C1B"/>
    <w:rsid w:val="00F257FB"/>
    <w:rsid w:val="00F2588F"/>
    <w:rsid w:val="00F30E24"/>
    <w:rsid w:val="00F31E47"/>
    <w:rsid w:val="00F3261E"/>
    <w:rsid w:val="00F3277D"/>
    <w:rsid w:val="00F32A34"/>
    <w:rsid w:val="00F33874"/>
    <w:rsid w:val="00F34A67"/>
    <w:rsid w:val="00F35564"/>
    <w:rsid w:val="00F3639D"/>
    <w:rsid w:val="00F4574E"/>
    <w:rsid w:val="00F4713D"/>
    <w:rsid w:val="00F50750"/>
    <w:rsid w:val="00F50858"/>
    <w:rsid w:val="00F52776"/>
    <w:rsid w:val="00F5491E"/>
    <w:rsid w:val="00F55732"/>
    <w:rsid w:val="00F5620A"/>
    <w:rsid w:val="00F56C67"/>
    <w:rsid w:val="00F571EF"/>
    <w:rsid w:val="00F61664"/>
    <w:rsid w:val="00F6268F"/>
    <w:rsid w:val="00F64D0A"/>
    <w:rsid w:val="00F65F21"/>
    <w:rsid w:val="00F667EF"/>
    <w:rsid w:val="00F7244D"/>
    <w:rsid w:val="00F72A4F"/>
    <w:rsid w:val="00F803E2"/>
    <w:rsid w:val="00F83FB2"/>
    <w:rsid w:val="00F86744"/>
    <w:rsid w:val="00F87302"/>
    <w:rsid w:val="00F87E2D"/>
    <w:rsid w:val="00F92A18"/>
    <w:rsid w:val="00F92BA2"/>
    <w:rsid w:val="00F95C1C"/>
    <w:rsid w:val="00F95C89"/>
    <w:rsid w:val="00F966F7"/>
    <w:rsid w:val="00F97719"/>
    <w:rsid w:val="00FA088E"/>
    <w:rsid w:val="00FA119E"/>
    <w:rsid w:val="00FA27BF"/>
    <w:rsid w:val="00FA4839"/>
    <w:rsid w:val="00FA7C0D"/>
    <w:rsid w:val="00FB0689"/>
    <w:rsid w:val="00FB0AD9"/>
    <w:rsid w:val="00FB15D3"/>
    <w:rsid w:val="00FB197B"/>
    <w:rsid w:val="00FB6ED5"/>
    <w:rsid w:val="00FB72AE"/>
    <w:rsid w:val="00FC28BD"/>
    <w:rsid w:val="00FC3015"/>
    <w:rsid w:val="00FC35E0"/>
    <w:rsid w:val="00FC5658"/>
    <w:rsid w:val="00FC62BB"/>
    <w:rsid w:val="00FC6CB9"/>
    <w:rsid w:val="00FD0641"/>
    <w:rsid w:val="00FD0AEA"/>
    <w:rsid w:val="00FD1284"/>
    <w:rsid w:val="00FD166F"/>
    <w:rsid w:val="00FD25C0"/>
    <w:rsid w:val="00FD3445"/>
    <w:rsid w:val="00FD345E"/>
    <w:rsid w:val="00FD3610"/>
    <w:rsid w:val="00FD3B08"/>
    <w:rsid w:val="00FD5925"/>
    <w:rsid w:val="00FE3688"/>
    <w:rsid w:val="00FE3CCB"/>
    <w:rsid w:val="00FE53F1"/>
    <w:rsid w:val="00FE7ED0"/>
    <w:rsid w:val="00FF14F0"/>
    <w:rsid w:val="00FF2359"/>
    <w:rsid w:val="00FF33D7"/>
    <w:rsid w:val="00FF3F98"/>
    <w:rsid w:val="00FF4CDE"/>
    <w:rsid w:val="00FF5EF1"/>
    <w:rsid w:val="00FF609A"/>
    <w:rsid w:val="00FF6E8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13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0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A9C"/>
  </w:style>
  <w:style w:type="paragraph" w:styleId="Footer">
    <w:name w:val="footer"/>
    <w:basedOn w:val="Normal"/>
    <w:link w:val="FooterChar"/>
    <w:uiPriority w:val="99"/>
    <w:unhideWhenUsed/>
    <w:rsid w:val="005A0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A9C"/>
  </w:style>
  <w:style w:type="paragraph" w:styleId="ListParagraph">
    <w:name w:val="List Paragraph"/>
    <w:basedOn w:val="Normal"/>
    <w:uiPriority w:val="34"/>
    <w:qFormat/>
    <w:rsid w:val="007B6BCE"/>
    <w:pPr>
      <w:ind w:left="720"/>
      <w:contextualSpacing/>
    </w:pPr>
  </w:style>
  <w:style w:type="numbering" w:customStyle="1" w:styleId="Outline">
    <w:name w:val="Outline"/>
    <w:uiPriority w:val="99"/>
    <w:rsid w:val="00CF2C73"/>
    <w:pPr>
      <w:numPr>
        <w:numId w:val="5"/>
      </w:numPr>
    </w:pPr>
  </w:style>
  <w:style w:type="character" w:styleId="CommentReference">
    <w:name w:val="annotation reference"/>
    <w:basedOn w:val="DefaultParagraphFont"/>
    <w:uiPriority w:val="99"/>
    <w:semiHidden/>
    <w:unhideWhenUsed/>
    <w:rsid w:val="00FA088E"/>
    <w:rPr>
      <w:sz w:val="18"/>
      <w:szCs w:val="18"/>
    </w:rPr>
  </w:style>
  <w:style w:type="paragraph" w:styleId="CommentText">
    <w:name w:val="annotation text"/>
    <w:basedOn w:val="Normal"/>
    <w:link w:val="CommentTextChar"/>
    <w:uiPriority w:val="99"/>
    <w:semiHidden/>
    <w:unhideWhenUsed/>
    <w:rsid w:val="00FA088E"/>
    <w:pPr>
      <w:spacing w:line="240" w:lineRule="auto"/>
    </w:pPr>
  </w:style>
  <w:style w:type="character" w:customStyle="1" w:styleId="CommentTextChar">
    <w:name w:val="Comment Text Char"/>
    <w:basedOn w:val="DefaultParagraphFont"/>
    <w:link w:val="CommentText"/>
    <w:uiPriority w:val="99"/>
    <w:semiHidden/>
    <w:rsid w:val="00FA088E"/>
  </w:style>
  <w:style w:type="paragraph" w:styleId="CommentSubject">
    <w:name w:val="annotation subject"/>
    <w:basedOn w:val="CommentText"/>
    <w:next w:val="CommentText"/>
    <w:link w:val="CommentSubjectChar"/>
    <w:uiPriority w:val="99"/>
    <w:semiHidden/>
    <w:unhideWhenUsed/>
    <w:rsid w:val="00FA088E"/>
    <w:rPr>
      <w:b/>
      <w:bCs/>
      <w:sz w:val="20"/>
      <w:szCs w:val="20"/>
    </w:rPr>
  </w:style>
  <w:style w:type="character" w:customStyle="1" w:styleId="CommentSubjectChar">
    <w:name w:val="Comment Subject Char"/>
    <w:basedOn w:val="CommentTextChar"/>
    <w:link w:val="CommentSubject"/>
    <w:uiPriority w:val="99"/>
    <w:semiHidden/>
    <w:rsid w:val="00FA088E"/>
    <w:rPr>
      <w:b/>
      <w:bCs/>
      <w:sz w:val="20"/>
      <w:szCs w:val="20"/>
    </w:rPr>
  </w:style>
  <w:style w:type="paragraph" w:styleId="BalloonText">
    <w:name w:val="Balloon Text"/>
    <w:basedOn w:val="Normal"/>
    <w:link w:val="BalloonTextChar"/>
    <w:uiPriority w:val="99"/>
    <w:semiHidden/>
    <w:unhideWhenUsed/>
    <w:rsid w:val="00FA088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A088E"/>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0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A9C"/>
  </w:style>
  <w:style w:type="paragraph" w:styleId="Footer">
    <w:name w:val="footer"/>
    <w:basedOn w:val="Normal"/>
    <w:link w:val="FooterChar"/>
    <w:uiPriority w:val="99"/>
    <w:unhideWhenUsed/>
    <w:rsid w:val="005A0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A9C"/>
  </w:style>
  <w:style w:type="paragraph" w:styleId="ListParagraph">
    <w:name w:val="List Paragraph"/>
    <w:basedOn w:val="Normal"/>
    <w:uiPriority w:val="34"/>
    <w:qFormat/>
    <w:rsid w:val="007B6BCE"/>
    <w:pPr>
      <w:ind w:left="720"/>
      <w:contextualSpacing/>
    </w:pPr>
  </w:style>
  <w:style w:type="numbering" w:customStyle="1" w:styleId="Outline">
    <w:name w:val="Outline"/>
    <w:uiPriority w:val="99"/>
    <w:rsid w:val="00CF2C73"/>
    <w:pPr>
      <w:numPr>
        <w:numId w:val="5"/>
      </w:numPr>
    </w:pPr>
  </w:style>
  <w:style w:type="character" w:styleId="CommentReference">
    <w:name w:val="annotation reference"/>
    <w:basedOn w:val="DefaultParagraphFont"/>
    <w:uiPriority w:val="99"/>
    <w:semiHidden/>
    <w:unhideWhenUsed/>
    <w:rsid w:val="00FA088E"/>
    <w:rPr>
      <w:sz w:val="18"/>
      <w:szCs w:val="18"/>
    </w:rPr>
  </w:style>
  <w:style w:type="paragraph" w:styleId="CommentText">
    <w:name w:val="annotation text"/>
    <w:basedOn w:val="Normal"/>
    <w:link w:val="CommentTextChar"/>
    <w:uiPriority w:val="99"/>
    <w:semiHidden/>
    <w:unhideWhenUsed/>
    <w:rsid w:val="00FA088E"/>
    <w:pPr>
      <w:spacing w:line="240" w:lineRule="auto"/>
    </w:pPr>
  </w:style>
  <w:style w:type="character" w:customStyle="1" w:styleId="CommentTextChar">
    <w:name w:val="Comment Text Char"/>
    <w:basedOn w:val="DefaultParagraphFont"/>
    <w:link w:val="CommentText"/>
    <w:uiPriority w:val="99"/>
    <w:semiHidden/>
    <w:rsid w:val="00FA088E"/>
  </w:style>
  <w:style w:type="paragraph" w:styleId="CommentSubject">
    <w:name w:val="annotation subject"/>
    <w:basedOn w:val="CommentText"/>
    <w:next w:val="CommentText"/>
    <w:link w:val="CommentSubjectChar"/>
    <w:uiPriority w:val="99"/>
    <w:semiHidden/>
    <w:unhideWhenUsed/>
    <w:rsid w:val="00FA088E"/>
    <w:rPr>
      <w:b/>
      <w:bCs/>
      <w:sz w:val="20"/>
      <w:szCs w:val="20"/>
    </w:rPr>
  </w:style>
  <w:style w:type="character" w:customStyle="1" w:styleId="CommentSubjectChar">
    <w:name w:val="Comment Subject Char"/>
    <w:basedOn w:val="CommentTextChar"/>
    <w:link w:val="CommentSubject"/>
    <w:uiPriority w:val="99"/>
    <w:semiHidden/>
    <w:rsid w:val="00FA088E"/>
    <w:rPr>
      <w:b/>
      <w:bCs/>
      <w:sz w:val="20"/>
      <w:szCs w:val="20"/>
    </w:rPr>
  </w:style>
  <w:style w:type="paragraph" w:styleId="BalloonText">
    <w:name w:val="Balloon Text"/>
    <w:basedOn w:val="Normal"/>
    <w:link w:val="BalloonTextChar"/>
    <w:uiPriority w:val="99"/>
    <w:semiHidden/>
    <w:unhideWhenUsed/>
    <w:rsid w:val="00FA088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A088E"/>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4016</Words>
  <Characters>21004</Characters>
  <Application>Microsoft Macintosh Word</Application>
  <DocSecurity>0</DocSecurity>
  <Lines>411</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2012-04-22T22:06:00Z</dcterms:created>
  <dcterms:modified xsi:type="dcterms:W3CDTF">2012-06-03T21:14:00Z</dcterms:modified>
  <cp:category/>
</cp:coreProperties>
</file>